
<file path=[Content_Types].xml><?xml version="1.0" encoding="utf-8"?>
<Types xmlns="http://schemas.openxmlformats.org/package/2006/content-types">
  <Default Extension="xml" ContentType="application/vnd.openxmlformats-officedocument.wordprocessingml.document.main+xml"/>
  <Default Extension="rels" ContentType="application/vnd.openxmlformats-package.relationships+xml"/>
  <Override PartName="/word/styles.xml" ContentType="application/vnd.openxmlformats-officedocument.wordprocessingml.styles+xml"/>
  <Override PartName="/word/numbering.xml" ContentType="application/vnd.openxmlformats-officedocument.wordprocessingml.numbering+xml"/>
</Types>
</file>

<file path=_rels/.rels>&#65279;<?xml version="1.0" encoding="utf-8"?><Relationships xmlns="http://schemas.openxmlformats.org/package/2006/relationships"><Relationship Type="http://schemas.openxmlformats.org/officeDocument/2006/relationships/officeDocument" Target="/word/document.xml" Id="Re1ec0d3659644a2e" /></Relationships>
</file>

<file path=word/document.xml><?xml version="1.0" encoding="utf-8"?>
<w:document xmlns:w="http://schemas.openxmlformats.org/wordprocessingml/2006/main">
  <w:body>
    <w:p>
      <w:pPr>
        <w:jc w:val="center"/>
        <w:spacing w:after="40"/>
      </w:pPr>
      <w:r>
        <w:rPr>
          <w:b/>
          <w:sz w:val="48"/>
          <w:color w:val="1a365d"/>
        </w:rPr>
        <w:t>UK SKILLED WORKER VISA</w:t>
      </w:r>
    </w:p>
    <w:p>
      <w:pPr>
        <w:jc w:val="center"/>
        <w:spacing w:after="80"/>
        <w:pBdr>
          <w:bottom w:val="single" w:color="1a365d" w:sz="8" w:space="8"/>
        </w:pBdr>
      </w:pPr>
      <w:r>
        <w:rPr>
          <w:b/>
          <w:sz w:val="32"/>
          <w:color w:val="2c5282"/>
        </w:rPr>
        <w:t>CV Keyword Optimization Guide</w:t>
      </w:r>
    </w:p>
    <w:p>
      <w:pPr>
        <w:jc w:val="center"/>
        <w:spacing w:after="240"/>
      </w:pPr>
      <w:r>
        <w:rPr>
          <w:i/>
          <w:sz w:val="22"/>
          <w:color w:val="4a5568"/>
        </w:rPr>
        <w:t>Maximise Your CV's Impact with UK Sponsor Companies</w:t>
      </w:r>
    </w:p>
    <w:p>
      <w:pPr>
        <w:pStyle w:val="Heading1"/>
      </w:pPr>
      <w:r>
        <w:t>INTRODUCTION</w:t>
      </w:r>
    </w:p>
    <w:p>
      <w:pPr>
        <w:spacing w:after="120"/>
      </w:pPr>
      <w:r>
        <w:t>This guide provides comprehensive keyword optimization strategies specifically designed for international candidates seeking UK Skilled Worker visa sponsorship. Proper keyword usage ensures your CV passes Applicant Tracking Systems (ATS) and catches the attention of UK recruiters.</w:t>
      </w:r>
    </w:p>
    <w:p>
      <w:pPr>
        <w:pStyle w:val="Heading1"/>
      </w:pPr>
      <w:r>
        <w:t>SECTION 1: ESSENTIAL VISA AND COMPLIANCE KEYWORDS</w:t>
      </w:r>
    </w:p>
    <w:p>
      <w:pPr>
        <w:spacing w:before="80" w:after="120"/>
        <w:shd w:val="clear" w:fill="27674920"/>
        <w:ind w:left="200" w:right="200"/>
        <w:pBdr>
          <w:left w:val="single" w:color="276749" w:sz="24" w:space="4"/>
        </w:pBdr>
      </w:pPr>
      <w:r>
        <w:rPr>
          <w:b/>
          <w:color w:val="276749"/>
        </w:rPr>
        <w:t>These keywords MUST appear in your CV for sponsor employers</w:t>
      </w:r>
    </w:p>
    <w:p>
      <w:pPr>
        <w:keepNext/>
        <w:spacing w:before="160" w:after="60"/>
      </w:pPr>
      <w:r>
        <w:rPr>
          <w:b/>
          <w:color w:val="2c5282"/>
          <w:sz w:val="23"/>
        </w:rPr>
        <w:t>Skilled Worker Visa Keywords</w:t>
      </w:r>
    </w:p>
    <w:tbl>
      <w:tblPr>
        <w:tblW w:w="5000" w:type="pct"/>
        <w:tblBorders>
          <w:top w:val="single" w:color="cbd5e0" w:sz="4"/>
          <w:bottom w:val="single" w:color="cbd5e0" w:sz="4"/>
          <w:left w:val="single" w:color="cbd5e0" w:sz="4"/>
          <w:right w:val="single" w:color="cbd5e0" w:sz="4"/>
          <w:insideH w:val="single" w:color="cbd5e0" w:sz="4"/>
          <w:insideV w:val="single" w:color="cbd5e0" w:sz="4"/>
        </w:tblBorders>
      </w:tblPr>
      <w:tblGrid>
        <w:gridCol w:w="3000"/>
        <w:gridCol w:w="7000"/>
      </w:tblGrid>
      <w:tr>
        <w:tc>
          <w:tcPr>
            <w:tcW w:w="3000" w:type="dxa"/>
            <w:vAlign w:val="center"/>
            <w:shd w:val="clear" w:fill="edf2f7"/>
          </w:tcPr>
          <w:p>
            <w:pPr>
              <w:spacing w:before="60" w:after="60"/>
            </w:pPr>
            <w:r>
              <w:rPr>
                <w:sz w:val="20"/>
                <w:color w:val="1a202c"/>
                <w:b/>
              </w:rPr>
              <w:t>Keyword/Phrase</w:t>
            </w:r>
          </w:p>
        </w:tc>
        <w:tc>
          <w:tcPr>
            <w:tcW w:w="7000" w:type="dxa"/>
            <w:vAlign w:val="center"/>
            <w:shd w:val="clear" w:fill="edf2f7"/>
          </w:tcPr>
          <w:p>
            <w:pPr>
              <w:spacing w:before="60" w:after="60"/>
            </w:pPr>
            <w:r>
              <w:rPr>
                <w:sz w:val="20"/>
                <w:color w:val="1a202c"/>
                <w:b/>
              </w:rPr>
              <w:t>Why It Matters</w:t>
            </w:r>
          </w:p>
        </w:tc>
      </w:tr>
      <w:tr>
        <w:tc>
          <w:tcPr>
            <w:tcW w:w="3000" w:type="dxa"/>
            <w:vAlign w:val="center"/>
          </w:tcPr>
          <w:p>
            <w:pPr>
              <w:spacing w:before="60" w:after="60"/>
            </w:pPr>
            <w:r>
              <w:rPr>
                <w:sz w:val="20"/>
                <w:color w:val="1a202c"/>
              </w:rPr>
              <w:t>Skilled Worker Visa</w:t>
            </w:r>
          </w:p>
        </w:tc>
        <w:tc>
          <w:tcPr>
            <w:tcW w:w="7000" w:type="dxa"/>
            <w:vAlign w:val="center"/>
          </w:tcPr>
          <w:p>
            <w:pPr>
              <w:spacing w:before="60" w:after="60"/>
            </w:pPr>
            <w:r>
              <w:rPr>
                <w:sz w:val="20"/>
                <w:color w:val="1a202c"/>
              </w:rPr>
              <w:t>Primary visa category keyword - essential for ATS filtering</w:t>
            </w:r>
          </w:p>
        </w:tc>
      </w:tr>
      <w:tr>
        <w:tc>
          <w:tcPr>
            <w:tcW w:w="3000" w:type="dxa"/>
            <w:vAlign w:val="center"/>
          </w:tcPr>
          <w:p>
            <w:pPr>
              <w:spacing w:before="60" w:after="60"/>
            </w:pPr>
            <w:r>
              <w:rPr>
                <w:sz w:val="20"/>
                <w:color w:val="1a202c"/>
              </w:rPr>
              <w:t>UKVI Compliant</w:t>
            </w:r>
          </w:p>
        </w:tc>
        <w:tc>
          <w:tcPr>
            <w:tcW w:w="7000" w:type="dxa"/>
            <w:vAlign w:val="center"/>
          </w:tcPr>
          <w:p>
            <w:pPr>
              <w:spacing w:before="60" w:after="60"/>
            </w:pPr>
            <w:r>
              <w:rPr>
                <w:sz w:val="20"/>
                <w:color w:val="1a202c"/>
              </w:rPr>
              <w:t>Shows understanding of UK Visas and Immigration requirements</w:t>
            </w:r>
          </w:p>
        </w:tc>
      </w:tr>
      <w:tr>
        <w:tc>
          <w:tcPr>
            <w:tcW w:w="3000" w:type="dxa"/>
            <w:vAlign w:val="center"/>
          </w:tcPr>
          <w:p>
            <w:pPr>
              <w:spacing w:before="60" w:after="60"/>
            </w:pPr>
            <w:r>
              <w:rPr>
                <w:sz w:val="20"/>
                <w:color w:val="1a202c"/>
              </w:rPr>
              <w:t>Certificate of Sponsorship</w:t>
            </w:r>
          </w:p>
        </w:tc>
        <w:tc>
          <w:tcPr>
            <w:tcW w:w="7000" w:type="dxa"/>
            <w:vAlign w:val="center"/>
          </w:tcPr>
          <w:p>
            <w:pPr>
              <w:spacing w:before="60" w:after="60"/>
            </w:pPr>
            <w:r>
              <w:rPr>
                <w:sz w:val="20"/>
                <w:color w:val="1a202c"/>
              </w:rPr>
              <w:t>Demonstrates readiness - use CoS ready or CoS eligible</w:t>
            </w:r>
          </w:p>
        </w:tc>
      </w:tr>
      <w:tr>
        <w:tc>
          <w:tcPr>
            <w:tcW w:w="3000" w:type="dxa"/>
            <w:vAlign w:val="center"/>
          </w:tcPr>
          <w:p>
            <w:pPr>
              <w:spacing w:before="60" w:after="60"/>
            </w:pPr>
            <w:r>
              <w:rPr>
                <w:sz w:val="20"/>
                <w:color w:val="1a202c"/>
              </w:rPr>
              <w:t>RQF Level 6+</w:t>
            </w:r>
          </w:p>
        </w:tc>
        <w:tc>
          <w:tcPr>
            <w:tcW w:w="7000" w:type="dxa"/>
            <w:vAlign w:val="center"/>
          </w:tcPr>
          <w:p>
            <w:pPr>
              <w:spacing w:before="60" w:after="60"/>
            </w:pPr>
            <w:r>
              <w:rPr>
                <w:sz w:val="20"/>
                <w:color w:val="1a202c"/>
              </w:rPr>
              <w:t>Required qualification level mention for graduate roles</w:t>
            </w:r>
          </w:p>
        </w:tc>
      </w:tr>
      <w:tr>
        <w:tc>
          <w:tcPr>
            <w:tcW w:w="3000" w:type="dxa"/>
            <w:vAlign w:val="center"/>
          </w:tcPr>
          <w:p>
            <w:pPr>
              <w:spacing w:before="60" w:after="60"/>
            </w:pPr>
            <w:r>
              <w:rPr>
                <w:sz w:val="20"/>
                <w:color w:val="1a202c"/>
              </w:rPr>
              <w:t>Right to Work</w:t>
            </w:r>
          </w:p>
        </w:tc>
        <w:tc>
          <w:tcPr>
            <w:tcW w:w="7000" w:type="dxa"/>
            <w:vAlign w:val="center"/>
          </w:tcPr>
          <w:p>
            <w:pPr>
              <w:spacing w:before="60" w:after="60"/>
            </w:pPr>
            <w:r>
              <w:rPr>
                <w:sz w:val="20"/>
                <w:color w:val="1a202c"/>
              </w:rPr>
              <w:t>Critical compliance keyword for UK employers</w:t>
            </w:r>
          </w:p>
        </w:tc>
      </w:tr>
      <w:tr>
        <w:tc>
          <w:tcPr>
            <w:tcW w:w="3000" w:type="dxa"/>
            <w:vAlign w:val="center"/>
          </w:tcPr>
          <w:p>
            <w:pPr>
              <w:spacing w:before="60" w:after="60"/>
            </w:pPr>
            <w:r>
              <w:rPr>
                <w:sz w:val="20"/>
                <w:color w:val="1a202c"/>
              </w:rPr>
              <w:t>English Language Proficiency</w:t>
            </w:r>
          </w:p>
        </w:tc>
        <w:tc>
          <w:tcPr>
            <w:tcW w:w="7000" w:type="dxa"/>
            <w:vAlign w:val="center"/>
          </w:tcPr>
          <w:p>
            <w:pPr>
              <w:spacing w:before="60" w:after="60"/>
            </w:pPr>
            <w:r>
              <w:rPr>
                <w:sz w:val="20"/>
                <w:color w:val="1a202c"/>
              </w:rPr>
              <w:t>IELTS score or degree taught in English</w:t>
            </w:r>
          </w:p>
        </w:tc>
      </w:tr>
      <w:tr>
        <w:tc>
          <w:tcPr>
            <w:tcW w:w="3000" w:type="dxa"/>
            <w:vAlign w:val="center"/>
          </w:tcPr>
          <w:p>
            <w:pPr>
              <w:spacing w:before="60" w:after="60"/>
            </w:pPr>
            <w:r>
              <w:rPr>
                <w:sz w:val="20"/>
                <w:color w:val="1a202c"/>
              </w:rPr>
              <w:t>UK Relocation</w:t>
            </w:r>
          </w:p>
        </w:tc>
        <w:tc>
          <w:tcPr>
            <w:tcW w:w="7000" w:type="dxa"/>
            <w:vAlign w:val="center"/>
          </w:tcPr>
          <w:p>
            <w:pPr>
              <w:spacing w:before="60" w:after="60"/>
            </w:pPr>
            <w:r>
              <w:rPr>
                <w:sz w:val="20"/>
                <w:color w:val="1a202c"/>
              </w:rPr>
              <w:t>Shows commitment and availability</w:t>
            </w:r>
          </w:p>
        </w:tc>
      </w:tr>
      <w:tr>
        <w:tc>
          <w:tcPr>
            <w:tcW w:w="3000" w:type="dxa"/>
            <w:vAlign w:val="center"/>
          </w:tcPr>
          <w:p>
            <w:pPr>
              <w:spacing w:before="60" w:after="60"/>
            </w:pPr>
            <w:r>
              <w:rPr>
                <w:sz w:val="20"/>
                <w:color w:val="1a202c"/>
              </w:rPr>
              <w:t>Immediate Availability</w:t>
            </w:r>
          </w:p>
        </w:tc>
        <w:tc>
          <w:tcPr>
            <w:tcW w:w="7000" w:type="dxa"/>
            <w:vAlign w:val="center"/>
          </w:tcPr>
          <w:p>
            <w:pPr>
              <w:spacing w:before="60" w:after="60"/>
            </w:pPr>
            <w:r>
              <w:rPr>
                <w:sz w:val="20"/>
                <w:color w:val="1a202c"/>
              </w:rPr>
              <w:t>Highly valued by sponsors seeking quick starts</w:t>
            </w:r>
          </w:p>
        </w:tc>
      </w:tr>
    </w:tbl>
    <w:p>
      <w:pPr>
        <w:spacing w:after="120"/>
      </w:pPr>
    </w:p>
    <w:p>
      <w:pPr>
        <w:keepNext/>
        <w:spacing w:before="160" w:after="60"/>
      </w:pPr>
      <w:r>
        <w:rPr>
          <w:b/>
          <w:color w:val="2c5282"/>
          <w:sz w:val="23"/>
        </w:rPr>
        <w:t>Compliance-Safe Phrases</w:t>
      </w:r>
    </w:p>
    <w:p>
      <w:pPr>
        <w:numPr>
          <w:ilvl w:val="0"/>
          <w:numId w:val="1"/>
        </w:numPr>
        <w:spacing w:after="60"/>
      </w:pPr>
      <w:r>
        <w:t>Eligible for Skilled Worker Visa sponsorship</w:t>
      </w:r>
    </w:p>
    <w:p>
      <w:pPr>
        <w:numPr>
          <w:ilvl w:val="0"/>
          <w:numId w:val="1"/>
        </w:numPr>
        <w:spacing w:after="60"/>
      </w:pPr>
      <w:r>
        <w:t>Meet UKVI salary threshold requirements</w:t>
      </w:r>
    </w:p>
    <w:p>
      <w:pPr>
        <w:numPr>
          <w:ilvl w:val="0"/>
          <w:numId w:val="1"/>
        </w:numPr>
        <w:spacing w:after="60"/>
      </w:pPr>
      <w:r>
        <w:t>English language proficient (IELTS X.X)</w:t>
      </w:r>
    </w:p>
    <w:p>
      <w:pPr>
        <w:numPr>
          <w:ilvl w:val="0"/>
          <w:numId w:val="1"/>
        </w:numPr>
        <w:spacing w:after="60"/>
      </w:pPr>
      <w:r>
        <w:t>Full documentation prepared for visa application</w:t>
      </w:r>
    </w:p>
    <w:p>
      <w:pPr>
        <w:numPr>
          <w:ilvl w:val="0"/>
          <w:numId w:val="1"/>
        </w:numPr>
        <w:spacing w:after="60"/>
      </w:pPr>
      <w:r>
        <w:t>Available for immediate UK relocation</w:t>
      </w:r>
    </w:p>
    <w:p>
      <w:pPr>
        <w:pStyle w:val="Heading1"/>
      </w:pPr>
      <w:r>
        <w:t>SECTION 2: INDUSTRY-SPECIFIC KEYWORDS BY ROLE</w:t>
      </w:r>
    </w:p>
    <w:p>
      <w:pPr>
        <w:keepNext/>
        <w:spacing w:before="160" w:after="60"/>
      </w:pPr>
      <w:r>
        <w:rPr>
          <w:b/>
          <w:color w:val="2c5282"/>
          <w:sz w:val="23"/>
        </w:rPr>
        <w:t>Software Development and Engineering</w:t>
      </w:r>
    </w:p>
    <w:tbl>
      <w:tblPr>
        <w:tblW w:w="5000" w:type="pct"/>
        <w:tblBorders>
          <w:top w:val="single" w:color="cbd5e0" w:sz="4"/>
          <w:bottom w:val="single" w:color="cbd5e0" w:sz="4"/>
          <w:left w:val="single" w:color="cbd5e0" w:sz="4"/>
          <w:right w:val="single" w:color="cbd5e0" w:sz="4"/>
          <w:insideH w:val="single" w:color="cbd5e0" w:sz="4"/>
          <w:insideV w:val="single" w:color="cbd5e0" w:sz="4"/>
        </w:tblBorders>
      </w:tblPr>
      <w:tblGrid>
        <w:gridCol w:w="3000"/>
        <w:gridCol w:w="7000"/>
      </w:tblGrid>
      <w:tr>
        <w:tc>
          <w:tcPr>
            <w:tcW w:w="3000" w:type="dxa"/>
            <w:vAlign w:val="center"/>
            <w:shd w:val="clear" w:fill="edf2f7"/>
          </w:tcPr>
          <w:p>
            <w:pPr>
              <w:spacing w:before="60" w:after="60"/>
            </w:pPr>
            <w:r>
              <w:rPr>
                <w:sz w:val="20"/>
                <w:color w:val="1a202c"/>
                <w:b/>
              </w:rPr>
              <w:t>Keyword/Phrase</w:t>
            </w:r>
          </w:p>
        </w:tc>
        <w:tc>
          <w:tcPr>
            <w:tcW w:w="7000" w:type="dxa"/>
            <w:vAlign w:val="center"/>
            <w:shd w:val="clear" w:fill="edf2f7"/>
          </w:tcPr>
          <w:p>
            <w:pPr>
              <w:spacing w:before="60" w:after="60"/>
            </w:pPr>
            <w:r>
              <w:rPr>
                <w:sz w:val="20"/>
                <w:color w:val="1a202c"/>
                <w:b/>
              </w:rPr>
              <w:t>Why It Matters</w:t>
            </w:r>
          </w:p>
        </w:tc>
      </w:tr>
      <w:tr>
        <w:tc>
          <w:tcPr>
            <w:tcW w:w="3000" w:type="dxa"/>
            <w:vAlign w:val="center"/>
          </w:tcPr>
          <w:p>
            <w:pPr>
              <w:spacing w:before="60" w:after="60"/>
            </w:pPr>
            <w:r>
              <w:rPr>
                <w:sz w:val="20"/>
                <w:color w:val="1a202c"/>
              </w:rPr>
              <w:t>Agile/Scrum</w:t>
            </w:r>
          </w:p>
        </w:tc>
        <w:tc>
          <w:tcPr>
            <w:tcW w:w="7000" w:type="dxa"/>
            <w:vAlign w:val="center"/>
          </w:tcPr>
          <w:p>
            <w:pPr>
              <w:spacing w:before="60" w:after="60"/>
            </w:pPr>
            <w:r>
              <w:rPr>
                <w:sz w:val="20"/>
                <w:color w:val="1a202c"/>
              </w:rPr>
              <w:t>Essential methodology keyword - appears in 90%+ UK tech job specs</w:t>
            </w:r>
          </w:p>
        </w:tc>
      </w:tr>
      <w:tr>
        <w:tc>
          <w:tcPr>
            <w:tcW w:w="3000" w:type="dxa"/>
            <w:vAlign w:val="center"/>
          </w:tcPr>
          <w:p>
            <w:pPr>
              <w:spacing w:before="60" w:after="60"/>
            </w:pPr>
            <w:r>
              <w:rPr>
                <w:sz w:val="20"/>
                <w:color w:val="1a202c"/>
              </w:rPr>
              <w:t>CI/CD</w:t>
            </w:r>
          </w:p>
        </w:tc>
        <w:tc>
          <w:tcPr>
            <w:tcW w:w="7000" w:type="dxa"/>
            <w:vAlign w:val="center"/>
          </w:tcPr>
          <w:p>
            <w:pPr>
              <w:spacing w:before="60" w:after="60"/>
            </w:pPr>
            <w:r>
              <w:rPr>
                <w:sz w:val="20"/>
                <w:color w:val="1a202c"/>
              </w:rPr>
              <w:t>DevOps keyword highly valued by UK employers</w:t>
            </w:r>
          </w:p>
        </w:tc>
      </w:tr>
      <w:tr>
        <w:tc>
          <w:tcPr>
            <w:tcW w:w="3000" w:type="dxa"/>
            <w:vAlign w:val="center"/>
          </w:tcPr>
          <w:p>
            <w:pPr>
              <w:spacing w:before="60" w:after="60"/>
            </w:pPr>
            <w:r>
              <w:rPr>
                <w:sz w:val="20"/>
                <w:color w:val="1a202c"/>
              </w:rPr>
              <w:t>Microservices</w:t>
            </w:r>
          </w:p>
        </w:tc>
        <w:tc>
          <w:tcPr>
            <w:tcW w:w="7000" w:type="dxa"/>
            <w:vAlign w:val="center"/>
          </w:tcPr>
          <w:p>
            <w:pPr>
              <w:spacing w:before="60" w:after="60"/>
            </w:pPr>
            <w:r>
              <w:rPr>
                <w:sz w:val="20"/>
                <w:color w:val="1a202c"/>
              </w:rPr>
              <w:t>Architecture pattern frequently requested</w:t>
            </w:r>
          </w:p>
        </w:tc>
      </w:tr>
      <w:tr>
        <w:tc>
          <w:tcPr>
            <w:tcW w:w="3000" w:type="dxa"/>
            <w:vAlign w:val="center"/>
          </w:tcPr>
          <w:p>
            <w:pPr>
              <w:spacing w:before="60" w:after="60"/>
            </w:pPr>
            <w:r>
              <w:rPr>
                <w:sz w:val="20"/>
                <w:color w:val="1a202c"/>
              </w:rPr>
              <w:t>Cloud Platforms</w:t>
            </w:r>
          </w:p>
        </w:tc>
        <w:tc>
          <w:tcPr>
            <w:tcW w:w="7000" w:type="dxa"/>
            <w:vAlign w:val="center"/>
          </w:tcPr>
          <w:p>
            <w:pPr>
              <w:spacing w:before="60" w:after="60"/>
            </w:pPr>
            <w:r>
              <w:rPr>
                <w:sz w:val="20"/>
                <w:color w:val="1a202c"/>
              </w:rPr>
              <w:t>AWS, Azure, GCP - specify which ones</w:t>
            </w:r>
          </w:p>
        </w:tc>
      </w:tr>
      <w:tr>
        <w:tc>
          <w:tcPr>
            <w:tcW w:w="3000" w:type="dxa"/>
            <w:vAlign w:val="center"/>
          </w:tcPr>
          <w:p>
            <w:pPr>
              <w:spacing w:before="60" w:after="60"/>
            </w:pPr>
            <w:r>
              <w:rPr>
                <w:sz w:val="20"/>
                <w:color w:val="1a202c"/>
              </w:rPr>
              <w:t>RESTful APIs</w:t>
            </w:r>
          </w:p>
        </w:tc>
        <w:tc>
          <w:tcPr>
            <w:tcW w:w="7000" w:type="dxa"/>
            <w:vAlign w:val="center"/>
          </w:tcPr>
          <w:p>
            <w:pPr>
              <w:spacing w:before="60" w:after="60"/>
            </w:pPr>
            <w:r>
              <w:rPr>
                <w:sz w:val="20"/>
                <w:color w:val="1a202c"/>
              </w:rPr>
              <w:t>Standard web development requirement</w:t>
            </w:r>
          </w:p>
        </w:tc>
      </w:tr>
      <w:tr>
        <w:tc>
          <w:tcPr>
            <w:tcW w:w="3000" w:type="dxa"/>
            <w:vAlign w:val="center"/>
          </w:tcPr>
          <w:p>
            <w:pPr>
              <w:spacing w:before="60" w:after="60"/>
            </w:pPr>
            <w:r>
              <w:rPr>
                <w:sz w:val="20"/>
                <w:color w:val="1a202c"/>
              </w:rPr>
              <w:t>Test-Driven Development</w:t>
            </w:r>
          </w:p>
        </w:tc>
        <w:tc>
          <w:tcPr>
            <w:tcW w:w="7000" w:type="dxa"/>
            <w:vAlign w:val="center"/>
          </w:tcPr>
          <w:p>
            <w:pPr>
              <w:spacing w:before="60" w:after="60"/>
            </w:pPr>
            <w:r>
              <w:rPr>
                <w:sz w:val="20"/>
                <w:color w:val="1a202c"/>
              </w:rPr>
              <w:t>Quality-focused keyword</w:t>
            </w:r>
          </w:p>
        </w:tc>
      </w:tr>
      <w:tr>
        <w:tc>
          <w:tcPr>
            <w:tcW w:w="3000" w:type="dxa"/>
            <w:vAlign w:val="center"/>
          </w:tcPr>
          <w:p>
            <w:pPr>
              <w:spacing w:before="60" w:after="60"/>
            </w:pPr>
            <w:r>
              <w:rPr>
                <w:sz w:val="20"/>
                <w:color w:val="1a202c"/>
              </w:rPr>
              <w:t>Full-Stack</w:t>
            </w:r>
          </w:p>
        </w:tc>
        <w:tc>
          <w:tcPr>
            <w:tcW w:w="7000" w:type="dxa"/>
            <w:vAlign w:val="center"/>
          </w:tcPr>
          <w:p>
            <w:pPr>
              <w:spacing w:before="60" w:after="60"/>
            </w:pPr>
            <w:r>
              <w:rPr>
                <w:sz w:val="20"/>
                <w:color w:val="1a202c"/>
              </w:rPr>
              <w:t>Versatility indicator for smaller UK teams</w:t>
            </w:r>
          </w:p>
        </w:tc>
      </w:tr>
      <w:tr>
        <w:tc>
          <w:tcPr>
            <w:tcW w:w="3000" w:type="dxa"/>
            <w:vAlign w:val="center"/>
          </w:tcPr>
          <w:p>
            <w:pPr>
              <w:spacing w:before="60" w:after="60"/>
            </w:pPr>
            <w:r>
              <w:rPr>
                <w:sz w:val="20"/>
                <w:color w:val="1a202c"/>
              </w:rPr>
              <w:t>Cross-functional Teams</w:t>
            </w:r>
          </w:p>
        </w:tc>
        <w:tc>
          <w:tcPr>
            <w:tcW w:w="7000" w:type="dxa"/>
            <w:vAlign w:val="center"/>
          </w:tcPr>
          <w:p>
            <w:pPr>
              <w:spacing w:before="60" w:after="60"/>
            </w:pPr>
            <w:r>
              <w:rPr>
                <w:sz w:val="20"/>
                <w:color w:val="1a202c"/>
              </w:rPr>
              <w:t>Collaboration keyword valued in UK workplace</w:t>
            </w:r>
          </w:p>
        </w:tc>
      </w:tr>
    </w:tbl>
    <w:p>
      <w:pPr>
        <w:spacing w:after="120"/>
      </w:pPr>
    </w:p>
    <w:p>
      <w:pPr>
        <w:keepNext/>
        <w:spacing w:before="160" w:after="60"/>
      </w:pPr>
      <w:r>
        <w:rPr>
          <w:b/>
          <w:color w:val="2c5282"/>
          <w:sz w:val="23"/>
        </w:rPr>
        <w:t>Data and Analytics Roles</w:t>
      </w:r>
    </w:p>
    <w:tbl>
      <w:tblPr>
        <w:tblW w:w="5000" w:type="pct"/>
        <w:tblBorders>
          <w:top w:val="single" w:color="cbd5e0" w:sz="4"/>
          <w:bottom w:val="single" w:color="cbd5e0" w:sz="4"/>
          <w:left w:val="single" w:color="cbd5e0" w:sz="4"/>
          <w:right w:val="single" w:color="cbd5e0" w:sz="4"/>
          <w:insideH w:val="single" w:color="cbd5e0" w:sz="4"/>
          <w:insideV w:val="single" w:color="cbd5e0" w:sz="4"/>
        </w:tblBorders>
      </w:tblPr>
      <w:tblGrid>
        <w:gridCol w:w="3000"/>
        <w:gridCol w:w="7000"/>
      </w:tblGrid>
      <w:tr>
        <w:tc>
          <w:tcPr>
            <w:tcW w:w="3000" w:type="dxa"/>
            <w:vAlign w:val="center"/>
            <w:shd w:val="clear" w:fill="edf2f7"/>
          </w:tcPr>
          <w:p>
            <w:pPr>
              <w:spacing w:before="60" w:after="60"/>
            </w:pPr>
            <w:r>
              <w:rPr>
                <w:sz w:val="20"/>
                <w:color w:val="1a202c"/>
                <w:b/>
              </w:rPr>
              <w:t>Keyword/Phrase</w:t>
            </w:r>
          </w:p>
        </w:tc>
        <w:tc>
          <w:tcPr>
            <w:tcW w:w="7000" w:type="dxa"/>
            <w:vAlign w:val="center"/>
            <w:shd w:val="clear" w:fill="edf2f7"/>
          </w:tcPr>
          <w:p>
            <w:pPr>
              <w:spacing w:before="60" w:after="60"/>
            </w:pPr>
            <w:r>
              <w:rPr>
                <w:sz w:val="20"/>
                <w:color w:val="1a202c"/>
                <w:b/>
              </w:rPr>
              <w:t>Why It Matters</w:t>
            </w:r>
          </w:p>
        </w:tc>
      </w:tr>
      <w:tr>
        <w:tc>
          <w:tcPr>
            <w:tcW w:w="3000" w:type="dxa"/>
            <w:vAlign w:val="center"/>
          </w:tcPr>
          <w:p>
            <w:pPr>
              <w:spacing w:before="60" w:after="60"/>
            </w:pPr>
            <w:r>
              <w:rPr>
                <w:sz w:val="20"/>
                <w:color w:val="1a202c"/>
              </w:rPr>
              <w:t>SQL</w:t>
            </w:r>
          </w:p>
        </w:tc>
        <w:tc>
          <w:tcPr>
            <w:tcW w:w="7000" w:type="dxa"/>
            <w:vAlign w:val="center"/>
          </w:tcPr>
          <w:p>
            <w:pPr>
              <w:spacing w:before="60" w:after="60"/>
            </w:pPr>
            <w:r>
              <w:rPr>
                <w:sz w:val="20"/>
                <w:color w:val="1a202c"/>
              </w:rPr>
              <w:t>Non-negotiable keyword for data roles</w:t>
            </w:r>
          </w:p>
        </w:tc>
      </w:tr>
      <w:tr>
        <w:tc>
          <w:tcPr>
            <w:tcW w:w="3000" w:type="dxa"/>
            <w:vAlign w:val="center"/>
          </w:tcPr>
          <w:p>
            <w:pPr>
              <w:spacing w:before="60" w:after="60"/>
            </w:pPr>
            <w:r>
              <w:rPr>
                <w:sz w:val="20"/>
                <w:color w:val="1a202c"/>
              </w:rPr>
              <w:t>Python/R</w:t>
            </w:r>
          </w:p>
        </w:tc>
        <w:tc>
          <w:tcPr>
            <w:tcW w:w="7000" w:type="dxa"/>
            <w:vAlign w:val="center"/>
          </w:tcPr>
          <w:p>
            <w:pPr>
              <w:spacing w:before="60" w:after="60"/>
            </w:pPr>
            <w:r>
              <w:rPr>
                <w:sz w:val="20"/>
                <w:color w:val="1a202c"/>
              </w:rPr>
              <w:t>Primary programming languages for data analysis</w:t>
            </w:r>
          </w:p>
        </w:tc>
      </w:tr>
      <w:tr>
        <w:tc>
          <w:tcPr>
            <w:tcW w:w="3000" w:type="dxa"/>
            <w:vAlign w:val="center"/>
          </w:tcPr>
          <w:p>
            <w:pPr>
              <w:spacing w:before="60" w:after="60"/>
            </w:pPr>
            <w:r>
              <w:rPr>
                <w:sz w:val="20"/>
                <w:color w:val="1a202c"/>
              </w:rPr>
              <w:t>Data Visualisation</w:t>
            </w:r>
          </w:p>
        </w:tc>
        <w:tc>
          <w:tcPr>
            <w:tcW w:w="7000" w:type="dxa"/>
            <w:vAlign w:val="center"/>
          </w:tcPr>
          <w:p>
            <w:pPr>
              <w:spacing w:before="60" w:after="60"/>
            </w:pPr>
            <w:r>
              <w:rPr>
                <w:sz w:val="20"/>
                <w:color w:val="1a202c"/>
              </w:rPr>
              <w:t>Tableau, Power BI - mention specific tools</w:t>
            </w:r>
          </w:p>
        </w:tc>
      </w:tr>
      <w:tr>
        <w:tc>
          <w:tcPr>
            <w:tcW w:w="3000" w:type="dxa"/>
            <w:vAlign w:val="center"/>
          </w:tcPr>
          <w:p>
            <w:pPr>
              <w:spacing w:before="60" w:after="60"/>
            </w:pPr>
            <w:r>
              <w:rPr>
                <w:sz w:val="20"/>
                <w:color w:val="1a202c"/>
              </w:rPr>
              <w:t>Statistical Analysis</w:t>
            </w:r>
          </w:p>
        </w:tc>
        <w:tc>
          <w:tcPr>
            <w:tcW w:w="7000" w:type="dxa"/>
            <w:vAlign w:val="center"/>
          </w:tcPr>
          <w:p>
            <w:pPr>
              <w:spacing w:before="60" w:after="60"/>
            </w:pPr>
            <w:r>
              <w:rPr>
                <w:sz w:val="20"/>
                <w:color w:val="1a202c"/>
              </w:rPr>
              <w:t>Core competency keyword</w:t>
            </w:r>
          </w:p>
        </w:tc>
      </w:tr>
      <w:tr>
        <w:tc>
          <w:tcPr>
            <w:tcW w:w="3000" w:type="dxa"/>
            <w:vAlign w:val="center"/>
          </w:tcPr>
          <w:p>
            <w:pPr>
              <w:spacing w:before="60" w:after="60"/>
            </w:pPr>
            <w:r>
              <w:rPr>
                <w:sz w:val="20"/>
                <w:color w:val="1a202c"/>
              </w:rPr>
              <w:t>Machine Learning</w:t>
            </w:r>
          </w:p>
        </w:tc>
        <w:tc>
          <w:tcPr>
            <w:tcW w:w="7000" w:type="dxa"/>
            <w:vAlign w:val="center"/>
          </w:tcPr>
          <w:p>
            <w:pPr>
              <w:spacing w:before="60" w:after="60"/>
            </w:pPr>
            <w:r>
              <w:rPr>
                <w:sz w:val="20"/>
                <w:color w:val="1a202c"/>
              </w:rPr>
              <w:t>High-demand skill in UK market</w:t>
            </w:r>
          </w:p>
        </w:tc>
      </w:tr>
      <w:tr>
        <w:tc>
          <w:tcPr>
            <w:tcW w:w="3000" w:type="dxa"/>
            <w:vAlign w:val="center"/>
          </w:tcPr>
          <w:p>
            <w:pPr>
              <w:spacing w:before="60" w:after="60"/>
            </w:pPr>
            <w:r>
              <w:rPr>
                <w:sz w:val="20"/>
                <w:color w:val="1a202c"/>
              </w:rPr>
              <w:t>ETL Processes</w:t>
            </w:r>
          </w:p>
        </w:tc>
        <w:tc>
          <w:tcPr>
            <w:tcW w:w="7000" w:type="dxa"/>
            <w:vAlign w:val="center"/>
          </w:tcPr>
          <w:p>
            <w:pPr>
              <w:spacing w:before="60" w:after="60"/>
            </w:pPr>
            <w:r>
              <w:rPr>
                <w:sz w:val="20"/>
                <w:color w:val="1a202c"/>
              </w:rPr>
              <w:t>Data engineering keyword</w:t>
            </w:r>
          </w:p>
        </w:tc>
      </w:tr>
      <w:tr>
        <w:tc>
          <w:tcPr>
            <w:tcW w:w="3000" w:type="dxa"/>
            <w:vAlign w:val="center"/>
          </w:tcPr>
          <w:p>
            <w:pPr>
              <w:spacing w:before="60" w:after="60"/>
            </w:pPr>
            <w:r>
              <w:rPr>
                <w:sz w:val="20"/>
                <w:color w:val="1a202c"/>
              </w:rPr>
              <w:t>Business Intelligence</w:t>
            </w:r>
          </w:p>
        </w:tc>
        <w:tc>
          <w:tcPr>
            <w:tcW w:w="7000" w:type="dxa"/>
            <w:vAlign w:val="center"/>
          </w:tcPr>
          <w:p>
            <w:pPr>
              <w:spacing w:before="60" w:after="60"/>
            </w:pPr>
            <w:r>
              <w:rPr>
                <w:sz w:val="20"/>
                <w:color w:val="1a202c"/>
              </w:rPr>
              <w:t>Strategic value keyword</w:t>
            </w:r>
          </w:p>
        </w:tc>
      </w:tr>
      <w:tr>
        <w:tc>
          <w:tcPr>
            <w:tcW w:w="3000" w:type="dxa"/>
            <w:vAlign w:val="center"/>
          </w:tcPr>
          <w:p>
            <w:pPr>
              <w:spacing w:before="60" w:after="60"/>
            </w:pPr>
            <w:r>
              <w:rPr>
                <w:sz w:val="20"/>
                <w:color w:val="1a202c"/>
              </w:rPr>
              <w:t>Predictive Modelling</w:t>
            </w:r>
          </w:p>
        </w:tc>
        <w:tc>
          <w:tcPr>
            <w:tcW w:w="7000" w:type="dxa"/>
            <w:vAlign w:val="center"/>
          </w:tcPr>
          <w:p>
            <w:pPr>
              <w:spacing w:before="60" w:after="60"/>
            </w:pPr>
            <w:r>
              <w:rPr>
                <w:sz w:val="20"/>
                <w:color w:val="1a202c"/>
              </w:rPr>
              <w:t>Advanced analytics capability</w:t>
            </w:r>
          </w:p>
        </w:tc>
      </w:tr>
    </w:tbl>
    <w:p>
      <w:pPr>
        <w:spacing w:after="120"/>
      </w:pPr>
    </w:p>
    <w:p>
      <w:pPr>
        <w:keepNext/>
        <w:spacing w:before="160" w:after="60"/>
      </w:pPr>
      <w:r>
        <w:rPr>
          <w:b/>
          <w:color w:val="2c5282"/>
          <w:sz w:val="23"/>
        </w:rPr>
        <w:t>Business Analysis</w:t>
      </w:r>
    </w:p>
    <w:tbl>
      <w:tblPr>
        <w:tblW w:w="5000" w:type="pct"/>
        <w:tblBorders>
          <w:top w:val="single" w:color="cbd5e0" w:sz="4"/>
          <w:bottom w:val="single" w:color="cbd5e0" w:sz="4"/>
          <w:left w:val="single" w:color="cbd5e0" w:sz="4"/>
          <w:right w:val="single" w:color="cbd5e0" w:sz="4"/>
          <w:insideH w:val="single" w:color="cbd5e0" w:sz="4"/>
          <w:insideV w:val="single" w:color="cbd5e0" w:sz="4"/>
        </w:tblBorders>
      </w:tblPr>
      <w:tblGrid>
        <w:gridCol w:w="3000"/>
        <w:gridCol w:w="7000"/>
      </w:tblGrid>
      <w:tr>
        <w:tc>
          <w:tcPr>
            <w:tcW w:w="3000" w:type="dxa"/>
            <w:vAlign w:val="center"/>
            <w:shd w:val="clear" w:fill="edf2f7"/>
          </w:tcPr>
          <w:p>
            <w:pPr>
              <w:spacing w:before="60" w:after="60"/>
            </w:pPr>
            <w:r>
              <w:rPr>
                <w:sz w:val="20"/>
                <w:color w:val="1a202c"/>
                <w:b/>
              </w:rPr>
              <w:t>Keyword/Phrase</w:t>
            </w:r>
          </w:p>
        </w:tc>
        <w:tc>
          <w:tcPr>
            <w:tcW w:w="7000" w:type="dxa"/>
            <w:vAlign w:val="center"/>
            <w:shd w:val="clear" w:fill="edf2f7"/>
          </w:tcPr>
          <w:p>
            <w:pPr>
              <w:spacing w:before="60" w:after="60"/>
            </w:pPr>
            <w:r>
              <w:rPr>
                <w:sz w:val="20"/>
                <w:color w:val="1a202c"/>
                <w:b/>
              </w:rPr>
              <w:t>Why It Matters</w:t>
            </w:r>
          </w:p>
        </w:tc>
      </w:tr>
      <w:tr>
        <w:tc>
          <w:tcPr>
            <w:tcW w:w="3000" w:type="dxa"/>
            <w:vAlign w:val="center"/>
          </w:tcPr>
          <w:p>
            <w:pPr>
              <w:spacing w:before="60" w:after="60"/>
            </w:pPr>
            <w:r>
              <w:rPr>
                <w:sz w:val="20"/>
                <w:color w:val="1a202c"/>
              </w:rPr>
              <w:t>Requirements Gathering</w:t>
            </w:r>
          </w:p>
        </w:tc>
        <w:tc>
          <w:tcPr>
            <w:tcW w:w="7000" w:type="dxa"/>
            <w:vAlign w:val="center"/>
          </w:tcPr>
          <w:p>
            <w:pPr>
              <w:spacing w:before="60" w:after="60"/>
            </w:pPr>
            <w:r>
              <w:rPr>
                <w:sz w:val="20"/>
                <w:color w:val="1a202c"/>
              </w:rPr>
              <w:t>Core BA activity keyword</w:t>
            </w:r>
          </w:p>
        </w:tc>
      </w:tr>
      <w:tr>
        <w:tc>
          <w:tcPr>
            <w:tcW w:w="3000" w:type="dxa"/>
            <w:vAlign w:val="center"/>
          </w:tcPr>
          <w:p>
            <w:pPr>
              <w:spacing w:before="60" w:after="60"/>
            </w:pPr>
            <w:r>
              <w:rPr>
                <w:sz w:val="20"/>
                <w:color w:val="1a202c"/>
              </w:rPr>
              <w:t>Stakeholder Management</w:t>
            </w:r>
          </w:p>
        </w:tc>
        <w:tc>
          <w:tcPr>
            <w:tcW w:w="7000" w:type="dxa"/>
            <w:vAlign w:val="center"/>
          </w:tcPr>
          <w:p>
            <w:pPr>
              <w:spacing w:before="60" w:after="60"/>
            </w:pPr>
            <w:r>
              <w:rPr>
                <w:sz w:val="20"/>
                <w:color w:val="1a202c"/>
              </w:rPr>
              <w:t>Essential soft skill for UK employers</w:t>
            </w:r>
          </w:p>
        </w:tc>
      </w:tr>
      <w:tr>
        <w:tc>
          <w:tcPr>
            <w:tcW w:w="3000" w:type="dxa"/>
            <w:vAlign w:val="center"/>
          </w:tcPr>
          <w:p>
            <w:pPr>
              <w:spacing w:before="60" w:after="60"/>
            </w:pPr>
            <w:r>
              <w:rPr>
                <w:sz w:val="20"/>
                <w:color w:val="1a202c"/>
              </w:rPr>
              <w:t>BPMN/UML</w:t>
            </w:r>
          </w:p>
        </w:tc>
        <w:tc>
          <w:tcPr>
            <w:tcW w:w="7000" w:type="dxa"/>
            <w:vAlign w:val="center"/>
          </w:tcPr>
          <w:p>
            <w:pPr>
              <w:spacing w:before="60" w:after="60"/>
            </w:pPr>
            <w:r>
              <w:rPr>
                <w:sz w:val="20"/>
                <w:color w:val="1a202c"/>
              </w:rPr>
              <w:t>Modelling notation standards</w:t>
            </w:r>
          </w:p>
        </w:tc>
      </w:tr>
      <w:tr>
        <w:tc>
          <w:tcPr>
            <w:tcW w:w="3000" w:type="dxa"/>
            <w:vAlign w:val="center"/>
          </w:tcPr>
          <w:p>
            <w:pPr>
              <w:spacing w:before="60" w:after="60"/>
            </w:pPr>
            <w:r>
              <w:rPr>
                <w:sz w:val="20"/>
                <w:color w:val="1a202c"/>
              </w:rPr>
              <w:t>User Stories</w:t>
            </w:r>
          </w:p>
        </w:tc>
        <w:tc>
          <w:tcPr>
            <w:tcW w:w="7000" w:type="dxa"/>
            <w:vAlign w:val="center"/>
          </w:tcPr>
          <w:p>
            <w:pPr>
              <w:spacing w:before="60" w:after="60"/>
            </w:pPr>
            <w:r>
              <w:rPr>
                <w:sz w:val="20"/>
                <w:color w:val="1a202c"/>
              </w:rPr>
              <w:t>Agile requirement format</w:t>
            </w:r>
          </w:p>
        </w:tc>
      </w:tr>
      <w:tr>
        <w:tc>
          <w:tcPr>
            <w:tcW w:w="3000" w:type="dxa"/>
            <w:vAlign w:val="center"/>
          </w:tcPr>
          <w:p>
            <w:pPr>
              <w:spacing w:before="60" w:after="60"/>
            </w:pPr>
            <w:r>
              <w:rPr>
                <w:sz w:val="20"/>
                <w:color w:val="1a202c"/>
              </w:rPr>
              <w:t>Process Improvement</w:t>
            </w:r>
          </w:p>
        </w:tc>
        <w:tc>
          <w:tcPr>
            <w:tcW w:w="7000" w:type="dxa"/>
            <w:vAlign w:val="center"/>
          </w:tcPr>
          <w:p>
            <w:pPr>
              <w:spacing w:before="60" w:after="60"/>
            </w:pPr>
            <w:r>
              <w:rPr>
                <w:sz w:val="20"/>
                <w:color w:val="1a202c"/>
              </w:rPr>
              <w:t>Value-adding keyword</w:t>
            </w:r>
          </w:p>
        </w:tc>
      </w:tr>
      <w:tr>
        <w:tc>
          <w:tcPr>
            <w:tcW w:w="3000" w:type="dxa"/>
            <w:vAlign w:val="center"/>
          </w:tcPr>
          <w:p>
            <w:pPr>
              <w:spacing w:before="60" w:after="60"/>
            </w:pPr>
            <w:r>
              <w:rPr>
                <w:sz w:val="20"/>
                <w:color w:val="1a202c"/>
              </w:rPr>
              <w:t>Gap Analysis</w:t>
            </w:r>
          </w:p>
        </w:tc>
        <w:tc>
          <w:tcPr>
            <w:tcW w:w="7000" w:type="dxa"/>
            <w:vAlign w:val="center"/>
          </w:tcPr>
          <w:p>
            <w:pPr>
              <w:spacing w:before="60" w:after="60"/>
            </w:pPr>
            <w:r>
              <w:rPr>
                <w:sz w:val="20"/>
                <w:color w:val="1a202c"/>
              </w:rPr>
              <w:t>Analytical capability indicator</w:t>
            </w:r>
          </w:p>
        </w:tc>
      </w:tr>
      <w:tr>
        <w:tc>
          <w:tcPr>
            <w:tcW w:w="3000" w:type="dxa"/>
            <w:vAlign w:val="center"/>
          </w:tcPr>
          <w:p>
            <w:pPr>
              <w:spacing w:before="60" w:after="60"/>
            </w:pPr>
            <w:r>
              <w:rPr>
                <w:sz w:val="20"/>
                <w:color w:val="1a202c"/>
              </w:rPr>
              <w:t>BRD/FRD</w:t>
            </w:r>
          </w:p>
        </w:tc>
        <w:tc>
          <w:tcPr>
            <w:tcW w:w="7000" w:type="dxa"/>
            <w:vAlign w:val="center"/>
          </w:tcPr>
          <w:p>
            <w:pPr>
              <w:spacing w:before="60" w:after="60"/>
            </w:pPr>
            <w:r>
              <w:rPr>
                <w:sz w:val="20"/>
                <w:color w:val="1a202c"/>
              </w:rPr>
              <w:t>Documentation standard abbreviations</w:t>
            </w:r>
          </w:p>
        </w:tc>
      </w:tr>
      <w:tr>
        <w:tc>
          <w:tcPr>
            <w:tcW w:w="3000" w:type="dxa"/>
            <w:vAlign w:val="center"/>
          </w:tcPr>
          <w:p>
            <w:pPr>
              <w:spacing w:before="60" w:after="60"/>
            </w:pPr>
            <w:r>
              <w:rPr>
                <w:sz w:val="20"/>
                <w:color w:val="1a202c"/>
              </w:rPr>
              <w:t>Workshop Facilitation</w:t>
            </w:r>
          </w:p>
        </w:tc>
        <w:tc>
          <w:tcPr>
            <w:tcW w:w="7000" w:type="dxa"/>
            <w:vAlign w:val="center"/>
          </w:tcPr>
          <w:p>
            <w:pPr>
              <w:spacing w:before="60" w:after="60"/>
            </w:pPr>
            <w:r>
              <w:rPr>
                <w:sz w:val="20"/>
                <w:color w:val="1a202c"/>
              </w:rPr>
              <w:t>Communication skill keyword</w:t>
            </w:r>
          </w:p>
        </w:tc>
      </w:tr>
    </w:tbl>
    <w:p>
      <w:pPr>
        <w:spacing w:after="120"/>
      </w:pPr>
    </w:p>
    <w:p>
      <w:pPr>
        <w:keepNext/>
        <w:spacing w:before="160" w:after="60"/>
      </w:pPr>
      <w:r>
        <w:rPr>
          <w:b/>
          <w:color w:val="2c5282"/>
          <w:sz w:val="23"/>
        </w:rPr>
        <w:t>Healthcare and Care Work</w:t>
      </w:r>
    </w:p>
    <w:tbl>
      <w:tblPr>
        <w:tblW w:w="5000" w:type="pct"/>
        <w:tblBorders>
          <w:top w:val="single" w:color="cbd5e0" w:sz="4"/>
          <w:bottom w:val="single" w:color="cbd5e0" w:sz="4"/>
          <w:left w:val="single" w:color="cbd5e0" w:sz="4"/>
          <w:right w:val="single" w:color="cbd5e0" w:sz="4"/>
          <w:insideH w:val="single" w:color="cbd5e0" w:sz="4"/>
          <w:insideV w:val="single" w:color="cbd5e0" w:sz="4"/>
        </w:tblBorders>
      </w:tblPr>
      <w:tblGrid>
        <w:gridCol w:w="3000"/>
        <w:gridCol w:w="7000"/>
      </w:tblGrid>
      <w:tr>
        <w:tc>
          <w:tcPr>
            <w:tcW w:w="3000" w:type="dxa"/>
            <w:vAlign w:val="center"/>
            <w:shd w:val="clear" w:fill="edf2f7"/>
          </w:tcPr>
          <w:p>
            <w:pPr>
              <w:spacing w:before="60" w:after="60"/>
            </w:pPr>
            <w:r>
              <w:rPr>
                <w:sz w:val="20"/>
                <w:color w:val="1a202c"/>
                <w:b/>
              </w:rPr>
              <w:t>Keyword/Phrase</w:t>
            </w:r>
          </w:p>
        </w:tc>
        <w:tc>
          <w:tcPr>
            <w:tcW w:w="7000" w:type="dxa"/>
            <w:vAlign w:val="center"/>
            <w:shd w:val="clear" w:fill="edf2f7"/>
          </w:tcPr>
          <w:p>
            <w:pPr>
              <w:spacing w:before="60" w:after="60"/>
            </w:pPr>
            <w:r>
              <w:rPr>
                <w:sz w:val="20"/>
                <w:color w:val="1a202c"/>
                <w:b/>
              </w:rPr>
              <w:t>Why It Matters</w:t>
            </w:r>
          </w:p>
        </w:tc>
      </w:tr>
      <w:tr>
        <w:tc>
          <w:tcPr>
            <w:tcW w:w="3000" w:type="dxa"/>
            <w:vAlign w:val="center"/>
          </w:tcPr>
          <w:p>
            <w:pPr>
              <w:spacing w:before="60" w:after="60"/>
            </w:pPr>
            <w:r>
              <w:rPr>
                <w:sz w:val="20"/>
                <w:color w:val="1a202c"/>
              </w:rPr>
              <w:t>Safeguarding</w:t>
            </w:r>
          </w:p>
        </w:tc>
        <w:tc>
          <w:tcPr>
            <w:tcW w:w="7000" w:type="dxa"/>
            <w:vAlign w:val="center"/>
          </w:tcPr>
          <w:p>
            <w:pPr>
              <w:spacing w:before="60" w:after="60"/>
            </w:pPr>
            <w:r>
              <w:rPr>
                <w:sz w:val="20"/>
                <w:color w:val="1a202c"/>
              </w:rPr>
              <w:t>Critical compliance keyword</w:t>
            </w:r>
          </w:p>
        </w:tc>
      </w:tr>
      <w:tr>
        <w:tc>
          <w:tcPr>
            <w:tcW w:w="3000" w:type="dxa"/>
            <w:vAlign w:val="center"/>
          </w:tcPr>
          <w:p>
            <w:pPr>
              <w:spacing w:before="60" w:after="60"/>
            </w:pPr>
            <w:r>
              <w:rPr>
                <w:sz w:val="20"/>
                <w:color w:val="1a202c"/>
              </w:rPr>
              <w:t>Person-Centred Care</w:t>
            </w:r>
          </w:p>
        </w:tc>
        <w:tc>
          <w:tcPr>
            <w:tcW w:w="7000" w:type="dxa"/>
            <w:vAlign w:val="center"/>
          </w:tcPr>
          <w:p>
            <w:pPr>
              <w:spacing w:before="60" w:after="60"/>
            </w:pPr>
            <w:r>
              <w:rPr>
                <w:sz w:val="20"/>
                <w:color w:val="1a202c"/>
              </w:rPr>
              <w:t>Modern care philosophy</w:t>
            </w:r>
          </w:p>
        </w:tc>
      </w:tr>
      <w:tr>
        <w:tc>
          <w:tcPr>
            <w:tcW w:w="3000" w:type="dxa"/>
            <w:vAlign w:val="center"/>
          </w:tcPr>
          <w:p>
            <w:pPr>
              <w:spacing w:before="60" w:after="60"/>
            </w:pPr>
            <w:r>
              <w:rPr>
                <w:sz w:val="20"/>
                <w:color w:val="1a202c"/>
              </w:rPr>
              <w:t>Care Planning</w:t>
            </w:r>
          </w:p>
        </w:tc>
        <w:tc>
          <w:tcPr>
            <w:tcW w:w="7000" w:type="dxa"/>
            <w:vAlign w:val="center"/>
          </w:tcPr>
          <w:p>
            <w:pPr>
              <w:spacing w:before="60" w:after="60"/>
            </w:pPr>
            <w:r>
              <w:rPr>
                <w:sz w:val="20"/>
                <w:color w:val="1a202c"/>
              </w:rPr>
              <w:t>Core care worker responsibility</w:t>
            </w:r>
          </w:p>
        </w:tc>
      </w:tr>
      <w:tr>
        <w:tc>
          <w:tcPr>
            <w:tcW w:w="3000" w:type="dxa"/>
            <w:vAlign w:val="center"/>
          </w:tcPr>
          <w:p>
            <w:pPr>
              <w:spacing w:before="60" w:after="60"/>
            </w:pPr>
            <w:r>
              <w:rPr>
                <w:sz w:val="20"/>
                <w:color w:val="1a202c"/>
              </w:rPr>
              <w:t>Medication Administration</w:t>
            </w:r>
          </w:p>
        </w:tc>
        <w:tc>
          <w:tcPr>
            <w:tcW w:w="7000" w:type="dxa"/>
            <w:vAlign w:val="center"/>
          </w:tcPr>
          <w:p>
            <w:pPr>
              <w:spacing w:before="60" w:after="60"/>
            </w:pPr>
            <w:r>
              <w:rPr>
                <w:sz w:val="20"/>
                <w:color w:val="1a202c"/>
              </w:rPr>
              <w:t>Regulated activity keyword</w:t>
            </w:r>
          </w:p>
        </w:tc>
      </w:tr>
      <w:tr>
        <w:tc>
          <w:tcPr>
            <w:tcW w:w="3000" w:type="dxa"/>
            <w:vAlign w:val="center"/>
          </w:tcPr>
          <w:p>
            <w:pPr>
              <w:spacing w:before="60" w:after="60"/>
            </w:pPr>
            <w:r>
              <w:rPr>
                <w:sz w:val="20"/>
                <w:color w:val="1a202c"/>
              </w:rPr>
              <w:t>Moving and Handling</w:t>
            </w:r>
          </w:p>
        </w:tc>
        <w:tc>
          <w:tcPr>
            <w:tcW w:w="7000" w:type="dxa"/>
            <w:vAlign w:val="center"/>
          </w:tcPr>
          <w:p>
            <w:pPr>
              <w:spacing w:before="60" w:after="60"/>
            </w:pPr>
            <w:r>
              <w:rPr>
                <w:sz w:val="20"/>
                <w:color w:val="1a202c"/>
              </w:rPr>
              <w:t>Health and safety requirement</w:t>
            </w:r>
          </w:p>
        </w:tc>
      </w:tr>
      <w:tr>
        <w:tc>
          <w:tcPr>
            <w:tcW w:w="3000" w:type="dxa"/>
            <w:vAlign w:val="center"/>
          </w:tcPr>
          <w:p>
            <w:pPr>
              <w:spacing w:before="60" w:after="60"/>
            </w:pPr>
            <w:r>
              <w:rPr>
                <w:sz w:val="20"/>
                <w:color w:val="1a202c"/>
              </w:rPr>
              <w:t>Mental Capacity Act</w:t>
            </w:r>
          </w:p>
        </w:tc>
        <w:tc>
          <w:tcPr>
            <w:tcW w:w="7000" w:type="dxa"/>
            <w:vAlign w:val="center"/>
          </w:tcPr>
          <w:p>
            <w:pPr>
              <w:spacing w:before="60" w:after="60"/>
            </w:pPr>
            <w:r>
              <w:rPr>
                <w:sz w:val="20"/>
                <w:color w:val="1a202c"/>
              </w:rPr>
              <w:t>Legal framework knowledge</w:t>
            </w:r>
          </w:p>
        </w:tc>
      </w:tr>
      <w:tr>
        <w:tc>
          <w:tcPr>
            <w:tcW w:w="3000" w:type="dxa"/>
            <w:vAlign w:val="center"/>
          </w:tcPr>
          <w:p>
            <w:pPr>
              <w:spacing w:before="60" w:after="60"/>
            </w:pPr>
            <w:r>
              <w:rPr>
                <w:sz w:val="20"/>
                <w:color w:val="1a202c"/>
              </w:rPr>
              <w:t>Dementia Care</w:t>
            </w:r>
          </w:p>
        </w:tc>
        <w:tc>
          <w:tcPr>
            <w:tcW w:w="7000" w:type="dxa"/>
            <w:vAlign w:val="center"/>
          </w:tcPr>
          <w:p>
            <w:pPr>
              <w:spacing w:before="60" w:after="60"/>
            </w:pPr>
            <w:r>
              <w:rPr>
                <w:sz w:val="20"/>
                <w:color w:val="1a202c"/>
              </w:rPr>
              <w:t>Specialist skill keyword</w:t>
            </w:r>
          </w:p>
        </w:tc>
      </w:tr>
      <w:tr>
        <w:tc>
          <w:tcPr>
            <w:tcW w:w="3000" w:type="dxa"/>
            <w:vAlign w:val="center"/>
          </w:tcPr>
          <w:p>
            <w:pPr>
              <w:spacing w:before="60" w:after="60"/>
            </w:pPr>
            <w:r>
              <w:rPr>
                <w:sz w:val="20"/>
                <w:color w:val="1a202c"/>
              </w:rPr>
              <w:t>NMC Registered</w:t>
            </w:r>
          </w:p>
        </w:tc>
        <w:tc>
          <w:tcPr>
            <w:tcW w:w="7000" w:type="dxa"/>
            <w:vAlign w:val="center"/>
          </w:tcPr>
          <w:p>
            <w:pPr>
              <w:spacing w:before="60" w:after="60"/>
            </w:pPr>
            <w:r>
              <w:rPr>
                <w:sz w:val="20"/>
                <w:color w:val="1a202c"/>
              </w:rPr>
              <w:t>For nursing roles - essential</w:t>
            </w:r>
          </w:p>
        </w:tc>
      </w:tr>
    </w:tbl>
    <w:p>
      <w:pPr>
        <w:spacing w:after="120"/>
      </w:pPr>
    </w:p>
    <w:p>
      <w:pPr>
        <w:keepNext/>
        <w:spacing w:before="160" w:after="60"/>
      </w:pPr>
      <w:r>
        <w:rPr>
          <w:b/>
          <w:color w:val="2c5282"/>
          <w:sz w:val="23"/>
        </w:rPr>
        <w:t>Engineering</w:t>
      </w:r>
    </w:p>
    <w:tbl>
      <w:tblPr>
        <w:tblW w:w="5000" w:type="pct"/>
        <w:tblBorders>
          <w:top w:val="single" w:color="cbd5e0" w:sz="4"/>
          <w:bottom w:val="single" w:color="cbd5e0" w:sz="4"/>
          <w:left w:val="single" w:color="cbd5e0" w:sz="4"/>
          <w:right w:val="single" w:color="cbd5e0" w:sz="4"/>
          <w:insideH w:val="single" w:color="cbd5e0" w:sz="4"/>
          <w:insideV w:val="single" w:color="cbd5e0" w:sz="4"/>
        </w:tblBorders>
      </w:tblPr>
      <w:tblGrid>
        <w:gridCol w:w="3000"/>
        <w:gridCol w:w="7000"/>
      </w:tblGrid>
      <w:tr>
        <w:tc>
          <w:tcPr>
            <w:tcW w:w="3000" w:type="dxa"/>
            <w:vAlign w:val="center"/>
            <w:shd w:val="clear" w:fill="edf2f7"/>
          </w:tcPr>
          <w:p>
            <w:pPr>
              <w:spacing w:before="60" w:after="60"/>
            </w:pPr>
            <w:r>
              <w:rPr>
                <w:sz w:val="20"/>
                <w:color w:val="1a202c"/>
                <w:b/>
              </w:rPr>
              <w:t>Keyword/Phrase</w:t>
            </w:r>
          </w:p>
        </w:tc>
        <w:tc>
          <w:tcPr>
            <w:tcW w:w="7000" w:type="dxa"/>
            <w:vAlign w:val="center"/>
            <w:shd w:val="clear" w:fill="edf2f7"/>
          </w:tcPr>
          <w:p>
            <w:pPr>
              <w:spacing w:before="60" w:after="60"/>
            </w:pPr>
            <w:r>
              <w:rPr>
                <w:sz w:val="20"/>
                <w:color w:val="1a202c"/>
                <w:b/>
              </w:rPr>
              <w:t>Why It Matters</w:t>
            </w:r>
          </w:p>
        </w:tc>
      </w:tr>
      <w:tr>
        <w:tc>
          <w:tcPr>
            <w:tcW w:w="3000" w:type="dxa"/>
            <w:vAlign w:val="center"/>
          </w:tcPr>
          <w:p>
            <w:pPr>
              <w:spacing w:before="60" w:after="60"/>
            </w:pPr>
            <w:r>
              <w:rPr>
                <w:sz w:val="20"/>
                <w:color w:val="1a202c"/>
              </w:rPr>
              <w:t>CAD/CAM</w:t>
            </w:r>
          </w:p>
        </w:tc>
        <w:tc>
          <w:tcPr>
            <w:tcW w:w="7000" w:type="dxa"/>
            <w:vAlign w:val="center"/>
          </w:tcPr>
          <w:p>
            <w:pPr>
              <w:spacing w:before="60" w:after="60"/>
            </w:pPr>
            <w:r>
              <w:rPr>
                <w:sz w:val="20"/>
                <w:color w:val="1a202c"/>
              </w:rPr>
              <w:t>Design software proficiency</w:t>
            </w:r>
          </w:p>
        </w:tc>
      </w:tr>
      <w:tr>
        <w:tc>
          <w:tcPr>
            <w:tcW w:w="3000" w:type="dxa"/>
            <w:vAlign w:val="center"/>
          </w:tcPr>
          <w:p>
            <w:pPr>
              <w:spacing w:before="60" w:after="60"/>
            </w:pPr>
            <w:r>
              <w:rPr>
                <w:sz w:val="20"/>
                <w:color w:val="1a202c"/>
              </w:rPr>
              <w:t>FEA Analysis</w:t>
            </w:r>
          </w:p>
        </w:tc>
        <w:tc>
          <w:tcPr>
            <w:tcW w:w="7000" w:type="dxa"/>
            <w:vAlign w:val="center"/>
          </w:tcPr>
          <w:p>
            <w:pPr>
              <w:spacing w:before="60" w:after="60"/>
            </w:pPr>
            <w:r>
              <w:rPr>
                <w:sz w:val="20"/>
                <w:color w:val="1a202c"/>
              </w:rPr>
              <w:t>Engineering analysis capability</w:t>
            </w:r>
          </w:p>
        </w:tc>
      </w:tr>
      <w:tr>
        <w:tc>
          <w:tcPr>
            <w:tcW w:w="3000" w:type="dxa"/>
            <w:vAlign w:val="center"/>
          </w:tcPr>
          <w:p>
            <w:pPr>
              <w:spacing w:before="60" w:after="60"/>
            </w:pPr>
            <w:r>
              <w:rPr>
                <w:sz w:val="20"/>
                <w:color w:val="1a202c"/>
              </w:rPr>
              <w:t>GD&amp;T</w:t>
            </w:r>
          </w:p>
        </w:tc>
        <w:tc>
          <w:tcPr>
            <w:tcW w:w="7000" w:type="dxa"/>
            <w:vAlign w:val="center"/>
          </w:tcPr>
          <w:p>
            <w:pPr>
              <w:spacing w:before="60" w:after="60"/>
            </w:pPr>
            <w:r>
              <w:rPr>
                <w:sz w:val="20"/>
                <w:color w:val="1a202c"/>
              </w:rPr>
              <w:t>Technical drawing standard</w:t>
            </w:r>
          </w:p>
        </w:tc>
      </w:tr>
      <w:tr>
        <w:tc>
          <w:tcPr>
            <w:tcW w:w="3000" w:type="dxa"/>
            <w:vAlign w:val="center"/>
          </w:tcPr>
          <w:p>
            <w:pPr>
              <w:spacing w:before="60" w:after="60"/>
            </w:pPr>
            <w:r>
              <w:rPr>
                <w:sz w:val="20"/>
                <w:color w:val="1a202c"/>
              </w:rPr>
              <w:t>Lean Manufacturing</w:t>
            </w:r>
          </w:p>
        </w:tc>
        <w:tc>
          <w:tcPr>
            <w:tcW w:w="7000" w:type="dxa"/>
            <w:vAlign w:val="center"/>
          </w:tcPr>
          <w:p>
            <w:pPr>
              <w:spacing w:before="60" w:after="60"/>
            </w:pPr>
            <w:r>
              <w:rPr>
                <w:sz w:val="20"/>
                <w:color w:val="1a202c"/>
              </w:rPr>
              <w:t>Process improvement methodology</w:t>
            </w:r>
          </w:p>
        </w:tc>
      </w:tr>
      <w:tr>
        <w:tc>
          <w:tcPr>
            <w:tcW w:w="3000" w:type="dxa"/>
            <w:vAlign w:val="center"/>
          </w:tcPr>
          <w:p>
            <w:pPr>
              <w:spacing w:before="60" w:after="60"/>
            </w:pPr>
            <w:r>
              <w:rPr>
                <w:sz w:val="20"/>
                <w:color w:val="1a202c"/>
              </w:rPr>
              <w:t>Quality Assurance</w:t>
            </w:r>
          </w:p>
        </w:tc>
        <w:tc>
          <w:tcPr>
            <w:tcW w:w="7000" w:type="dxa"/>
            <w:vAlign w:val="center"/>
          </w:tcPr>
          <w:p>
            <w:pPr>
              <w:spacing w:before="60" w:after="60"/>
            </w:pPr>
            <w:r>
              <w:rPr>
                <w:sz w:val="20"/>
                <w:color w:val="1a202c"/>
              </w:rPr>
              <w:t>Compliance keyword</w:t>
            </w:r>
          </w:p>
        </w:tc>
      </w:tr>
      <w:tr>
        <w:tc>
          <w:tcPr>
            <w:tcW w:w="3000" w:type="dxa"/>
            <w:vAlign w:val="center"/>
          </w:tcPr>
          <w:p>
            <w:pPr>
              <w:spacing w:before="60" w:after="60"/>
            </w:pPr>
            <w:r>
              <w:rPr>
                <w:sz w:val="20"/>
                <w:color w:val="1a202c"/>
              </w:rPr>
              <w:t>Project Management</w:t>
            </w:r>
          </w:p>
        </w:tc>
        <w:tc>
          <w:tcPr>
            <w:tcW w:w="7000" w:type="dxa"/>
            <w:vAlign w:val="center"/>
          </w:tcPr>
          <w:p>
            <w:pPr>
              <w:spacing w:before="60" w:after="60"/>
            </w:pPr>
            <w:r>
              <w:rPr>
                <w:sz w:val="20"/>
                <w:color w:val="1a202c"/>
              </w:rPr>
              <w:t>Leadership capability</w:t>
            </w:r>
          </w:p>
        </w:tc>
      </w:tr>
      <w:tr>
        <w:tc>
          <w:tcPr>
            <w:tcW w:w="3000" w:type="dxa"/>
            <w:vAlign w:val="center"/>
          </w:tcPr>
          <w:p>
            <w:pPr>
              <w:spacing w:before="60" w:after="60"/>
            </w:pPr>
            <w:r>
              <w:rPr>
                <w:sz w:val="20"/>
                <w:color w:val="1a202c"/>
              </w:rPr>
              <w:t>Technical Documentation</w:t>
            </w:r>
          </w:p>
        </w:tc>
        <w:tc>
          <w:tcPr>
            <w:tcW w:w="7000" w:type="dxa"/>
            <w:vAlign w:val="center"/>
          </w:tcPr>
          <w:p>
            <w:pPr>
              <w:spacing w:before="60" w:after="60"/>
            </w:pPr>
            <w:r>
              <w:rPr>
                <w:sz w:val="20"/>
                <w:color w:val="1a202c"/>
              </w:rPr>
              <w:t>Communication skill</w:t>
            </w:r>
          </w:p>
        </w:tc>
      </w:tr>
      <w:tr>
        <w:tc>
          <w:tcPr>
            <w:tcW w:w="3000" w:type="dxa"/>
            <w:vAlign w:val="center"/>
          </w:tcPr>
          <w:p>
            <w:pPr>
              <w:spacing w:before="60" w:after="60"/>
            </w:pPr>
            <w:r>
              <w:rPr>
                <w:sz w:val="20"/>
                <w:color w:val="1a202c"/>
              </w:rPr>
              <w:t>Health and Safety</w:t>
            </w:r>
          </w:p>
        </w:tc>
        <w:tc>
          <w:tcPr>
            <w:tcW w:w="7000" w:type="dxa"/>
            <w:vAlign w:val="center"/>
          </w:tcPr>
          <w:p>
            <w:pPr>
              <w:spacing w:before="60" w:after="60"/>
            </w:pPr>
            <w:r>
              <w:rPr>
                <w:sz w:val="20"/>
                <w:color w:val="1a202c"/>
              </w:rPr>
              <w:t>Regulatory compliance</w:t>
            </w:r>
          </w:p>
        </w:tc>
      </w:tr>
    </w:tbl>
    <w:p>
      <w:pPr>
        <w:spacing w:after="120"/>
      </w:pPr>
    </w:p>
    <w:p>
      <w:pPr>
        <w:pStyle w:val="Heading1"/>
      </w:pPr>
      <w:r>
        <w:t>SECTION 3: UK-SPECIFIC JOB MARKET TERMINOLOGY</w:t>
      </w:r>
    </w:p>
    <w:p>
      <w:pPr>
        <w:spacing w:before="80" w:after="120"/>
        <w:shd w:val="clear" w:fill="2c528220"/>
        <w:ind w:left="200" w:right="200"/>
        <w:pBdr>
          <w:left w:val="single" w:color="2c5282" w:sz="24" w:space="4"/>
        </w:pBdr>
      </w:pPr>
      <w:r>
        <w:rPr>
          <w:b/>
          <w:color w:val="2c5282"/>
        </w:rPr>
        <w:t>Using UK terminology demonstrates market awareness and cultural fit</w:t>
      </w:r>
    </w:p>
    <w:p>
      <w:pPr>
        <w:keepNext/>
        <w:spacing w:before="160" w:after="60"/>
      </w:pPr>
      <w:r>
        <w:rPr>
          <w:b/>
          <w:color w:val="2c5282"/>
          <w:sz w:val="23"/>
        </w:rPr>
        <w:t>UK vs International Terminology</w:t>
      </w:r>
    </w:p>
    <w:tbl>
      <w:tblPr>
        <w:tblW w:w="5000" w:type="pct"/>
        <w:tblBorders>
          <w:top w:val="single" w:color="cbd5e0" w:sz="4"/>
          <w:bottom w:val="single" w:color="cbd5e0" w:sz="4"/>
          <w:left w:val="single" w:color="cbd5e0" w:sz="4"/>
          <w:right w:val="single" w:color="cbd5e0" w:sz="4"/>
          <w:insideH w:val="single" w:color="cbd5e0" w:sz="4"/>
          <w:insideV w:val="single" w:color="cbd5e0" w:sz="4"/>
        </w:tblBorders>
      </w:tblPr>
      <w:tblGrid>
        <w:gridCol w:w="5000"/>
        <w:gridCol w:w="5000"/>
      </w:tblGrid>
      <w:tr>
        <w:tc>
          <w:tcPr>
            <w:tcW w:w="5000" w:type="dxa"/>
            <w:vAlign w:val="center"/>
            <w:shd w:val="clear" w:fill="edf2f7"/>
          </w:tcPr>
          <w:p>
            <w:pPr>
              <w:spacing w:before="60" w:after="60"/>
            </w:pPr>
            <w:r>
              <w:rPr>
                <w:sz w:val="20"/>
                <w:color w:val="1a202c"/>
                <w:b/>
              </w:rPr>
              <w:t>US/International</w:t>
            </w:r>
          </w:p>
        </w:tc>
        <w:tc>
          <w:tcPr>
            <w:tcW w:w="5000" w:type="dxa"/>
            <w:vAlign w:val="center"/>
            <w:shd w:val="clear" w:fill="edf2f7"/>
          </w:tcPr>
          <w:p>
            <w:pPr>
              <w:spacing w:before="60" w:after="60"/>
            </w:pPr>
            <w:r>
              <w:rPr>
                <w:sz w:val="20"/>
                <w:color w:val="1a202c"/>
                <w:b/>
              </w:rPr>
              <w:t>UK Equivalent</w:t>
            </w:r>
          </w:p>
        </w:tc>
      </w:tr>
      <w:tr>
        <w:tc>
          <w:tcPr>
            <w:tcW w:w="5000" w:type="dxa"/>
            <w:vAlign w:val="center"/>
          </w:tcPr>
          <w:p>
            <w:pPr>
              <w:spacing w:before="60" w:after="60"/>
            </w:pPr>
            <w:r>
              <w:rPr>
                <w:sz w:val="20"/>
                <w:color w:val="1a202c"/>
              </w:rPr>
              <w:t>Resume</w:t>
            </w:r>
          </w:p>
        </w:tc>
        <w:tc>
          <w:tcPr>
            <w:tcW w:w="5000" w:type="dxa"/>
            <w:vAlign w:val="center"/>
          </w:tcPr>
          <w:p>
            <w:pPr>
              <w:spacing w:before="60" w:after="60"/>
            </w:pPr>
            <w:r>
              <w:rPr>
                <w:sz w:val="20"/>
                <w:color w:val="1a202c"/>
              </w:rPr>
              <w:t>CV (Curriculum Vitae)</w:t>
            </w:r>
          </w:p>
        </w:tc>
      </w:tr>
      <w:tr>
        <w:tc>
          <w:tcPr>
            <w:tcW w:w="5000" w:type="dxa"/>
            <w:vAlign w:val="center"/>
          </w:tcPr>
          <w:p>
            <w:pPr>
              <w:spacing w:before="60" w:after="60"/>
            </w:pPr>
            <w:r>
              <w:rPr>
                <w:sz w:val="20"/>
                <w:color w:val="1a202c"/>
              </w:rPr>
              <w:t>College</w:t>
            </w:r>
          </w:p>
        </w:tc>
        <w:tc>
          <w:tcPr>
            <w:tcW w:w="5000" w:type="dxa"/>
            <w:vAlign w:val="center"/>
          </w:tcPr>
          <w:p>
            <w:pPr>
              <w:spacing w:before="60" w:after="60"/>
            </w:pPr>
            <w:r>
              <w:rPr>
                <w:sz w:val="20"/>
                <w:color w:val="1a202c"/>
              </w:rPr>
              <w:t>University</w:t>
            </w:r>
          </w:p>
        </w:tc>
      </w:tr>
      <w:tr>
        <w:tc>
          <w:tcPr>
            <w:tcW w:w="5000" w:type="dxa"/>
            <w:vAlign w:val="center"/>
          </w:tcPr>
          <w:p>
            <w:pPr>
              <w:spacing w:before="60" w:after="60"/>
            </w:pPr>
            <w:r>
              <w:rPr>
                <w:sz w:val="20"/>
                <w:color w:val="1a202c"/>
              </w:rPr>
              <w:t>GPA</w:t>
            </w:r>
          </w:p>
        </w:tc>
        <w:tc>
          <w:tcPr>
            <w:tcW w:w="5000" w:type="dxa"/>
            <w:vAlign w:val="center"/>
          </w:tcPr>
          <w:p>
            <w:pPr>
              <w:spacing w:before="60" w:after="60"/>
            </w:pPr>
            <w:r>
              <w:rPr>
                <w:sz w:val="20"/>
                <w:color w:val="1a202c"/>
              </w:rPr>
              <w:t>Degree Classification (First, 2:1, 2:2)</w:t>
            </w:r>
          </w:p>
        </w:tc>
      </w:tr>
      <w:tr>
        <w:tc>
          <w:tcPr>
            <w:tcW w:w="5000" w:type="dxa"/>
            <w:vAlign w:val="center"/>
          </w:tcPr>
          <w:p>
            <w:pPr>
              <w:spacing w:before="60" w:after="60"/>
            </w:pPr>
            <w:r>
              <w:rPr>
                <w:sz w:val="20"/>
                <w:color w:val="1a202c"/>
              </w:rPr>
              <w:t>Major</w:t>
            </w:r>
          </w:p>
        </w:tc>
        <w:tc>
          <w:tcPr>
            <w:tcW w:w="5000" w:type="dxa"/>
            <w:vAlign w:val="center"/>
          </w:tcPr>
          <w:p>
            <w:pPr>
              <w:spacing w:before="60" w:after="60"/>
            </w:pPr>
            <w:r>
              <w:rPr>
                <w:sz w:val="20"/>
                <w:color w:val="1a202c"/>
              </w:rPr>
              <w:t>Degree Subject/Specialisation</w:t>
            </w:r>
          </w:p>
        </w:tc>
      </w:tr>
      <w:tr>
        <w:tc>
          <w:tcPr>
            <w:tcW w:w="5000" w:type="dxa"/>
            <w:vAlign w:val="center"/>
          </w:tcPr>
          <w:p>
            <w:pPr>
              <w:spacing w:before="60" w:after="60"/>
            </w:pPr>
            <w:r>
              <w:rPr>
                <w:sz w:val="20"/>
                <w:color w:val="1a202c"/>
              </w:rPr>
              <w:t>Internship</w:t>
            </w:r>
          </w:p>
        </w:tc>
        <w:tc>
          <w:tcPr>
            <w:tcW w:w="5000" w:type="dxa"/>
            <w:vAlign w:val="center"/>
          </w:tcPr>
          <w:p>
            <w:pPr>
              <w:spacing w:before="60" w:after="60"/>
            </w:pPr>
            <w:r>
              <w:rPr>
                <w:sz w:val="20"/>
                <w:color w:val="1a202c"/>
              </w:rPr>
              <w:t>Work Placement / Industrial Placement</w:t>
            </w:r>
          </w:p>
        </w:tc>
      </w:tr>
      <w:tr>
        <w:tc>
          <w:tcPr>
            <w:tcW w:w="5000" w:type="dxa"/>
            <w:vAlign w:val="center"/>
          </w:tcPr>
          <w:p>
            <w:pPr>
              <w:spacing w:before="60" w:after="60"/>
            </w:pPr>
            <w:r>
              <w:rPr>
                <w:sz w:val="20"/>
                <w:color w:val="1a202c"/>
              </w:rPr>
              <w:t>Full-time</w:t>
            </w:r>
          </w:p>
        </w:tc>
        <w:tc>
          <w:tcPr>
            <w:tcW w:w="5000" w:type="dxa"/>
            <w:vAlign w:val="center"/>
          </w:tcPr>
          <w:p>
            <w:pPr>
              <w:spacing w:before="60" w:after="60"/>
            </w:pPr>
            <w:r>
              <w:rPr>
                <w:sz w:val="20"/>
                <w:color w:val="1a202c"/>
              </w:rPr>
              <w:t>Permanent Contract</w:t>
            </w:r>
          </w:p>
        </w:tc>
      </w:tr>
      <w:tr>
        <w:tc>
          <w:tcPr>
            <w:tcW w:w="5000" w:type="dxa"/>
            <w:vAlign w:val="center"/>
          </w:tcPr>
          <w:p>
            <w:pPr>
              <w:spacing w:before="60" w:after="60"/>
            </w:pPr>
            <w:r>
              <w:rPr>
                <w:sz w:val="20"/>
                <w:color w:val="1a202c"/>
              </w:rPr>
              <w:t>Part-time</w:t>
            </w:r>
          </w:p>
        </w:tc>
        <w:tc>
          <w:tcPr>
            <w:tcW w:w="5000" w:type="dxa"/>
            <w:vAlign w:val="center"/>
          </w:tcPr>
          <w:p>
            <w:pPr>
              <w:spacing w:before="60" w:after="60"/>
            </w:pPr>
            <w:r>
              <w:rPr>
                <w:sz w:val="20"/>
                <w:color w:val="1a202c"/>
              </w:rPr>
              <w:t>Fixed-term / Temporary</w:t>
            </w:r>
          </w:p>
        </w:tc>
      </w:tr>
      <w:tr>
        <w:tc>
          <w:tcPr>
            <w:tcW w:w="5000" w:type="dxa"/>
            <w:vAlign w:val="center"/>
          </w:tcPr>
          <w:p>
            <w:pPr>
              <w:spacing w:before="60" w:after="60"/>
            </w:pPr>
            <w:r>
              <w:rPr>
                <w:sz w:val="20"/>
                <w:color w:val="1a202c"/>
              </w:rPr>
              <w:t>Benefits</w:t>
            </w:r>
          </w:p>
        </w:tc>
        <w:tc>
          <w:tcPr>
            <w:tcW w:w="5000" w:type="dxa"/>
            <w:vAlign w:val="center"/>
          </w:tcPr>
          <w:p>
            <w:pPr>
              <w:spacing w:before="60" w:after="60"/>
            </w:pPr>
            <w:r>
              <w:rPr>
                <w:sz w:val="20"/>
                <w:color w:val="1a202c"/>
              </w:rPr>
              <w:t>Employee Benefits / Perks</w:t>
            </w:r>
          </w:p>
        </w:tc>
      </w:tr>
      <w:tr>
        <w:tc>
          <w:tcPr>
            <w:tcW w:w="5000" w:type="dxa"/>
            <w:vAlign w:val="center"/>
          </w:tcPr>
          <w:p>
            <w:pPr>
              <w:spacing w:before="60" w:after="60"/>
            </w:pPr>
            <w:r>
              <w:rPr>
                <w:sz w:val="20"/>
                <w:color w:val="1a202c"/>
              </w:rPr>
              <w:t>401k</w:t>
            </w:r>
          </w:p>
        </w:tc>
        <w:tc>
          <w:tcPr>
            <w:tcW w:w="5000" w:type="dxa"/>
            <w:vAlign w:val="center"/>
          </w:tcPr>
          <w:p>
            <w:pPr>
              <w:spacing w:before="60" w:after="60"/>
            </w:pPr>
            <w:r>
              <w:rPr>
                <w:sz w:val="20"/>
                <w:color w:val="1a202c"/>
              </w:rPr>
              <w:t>Pension Scheme</w:t>
            </w:r>
          </w:p>
        </w:tc>
      </w:tr>
      <w:tr>
        <w:tc>
          <w:tcPr>
            <w:tcW w:w="5000" w:type="dxa"/>
            <w:vAlign w:val="center"/>
          </w:tcPr>
          <w:p>
            <w:pPr>
              <w:spacing w:before="60" w:after="60"/>
            </w:pPr>
            <w:r>
              <w:rPr>
                <w:sz w:val="20"/>
                <w:color w:val="1a202c"/>
              </w:rPr>
              <w:t>Vacation</w:t>
            </w:r>
          </w:p>
        </w:tc>
        <w:tc>
          <w:tcPr>
            <w:tcW w:w="5000" w:type="dxa"/>
            <w:vAlign w:val="center"/>
          </w:tcPr>
          <w:p>
            <w:pPr>
              <w:spacing w:before="60" w:after="60"/>
            </w:pPr>
            <w:r>
              <w:rPr>
                <w:sz w:val="20"/>
                <w:color w:val="1a202c"/>
              </w:rPr>
              <w:t>Annual Leave / Holiday</w:t>
            </w:r>
          </w:p>
        </w:tc>
      </w:tr>
      <w:tr>
        <w:tc>
          <w:tcPr>
            <w:tcW w:w="5000" w:type="dxa"/>
            <w:vAlign w:val="center"/>
          </w:tcPr>
          <w:p>
            <w:pPr>
              <w:spacing w:before="60" w:after="60"/>
            </w:pPr>
            <w:r>
              <w:rPr>
                <w:sz w:val="20"/>
                <w:color w:val="1a202c"/>
              </w:rPr>
              <w:t>Layoff</w:t>
            </w:r>
          </w:p>
        </w:tc>
        <w:tc>
          <w:tcPr>
            <w:tcW w:w="5000" w:type="dxa"/>
            <w:vAlign w:val="center"/>
          </w:tcPr>
          <w:p>
            <w:pPr>
              <w:spacing w:before="60" w:after="60"/>
            </w:pPr>
            <w:r>
              <w:rPr>
                <w:sz w:val="20"/>
                <w:color w:val="1a202c"/>
              </w:rPr>
              <w:t>Redundancy</w:t>
            </w:r>
          </w:p>
        </w:tc>
      </w:tr>
      <w:tr>
        <w:tc>
          <w:tcPr>
            <w:tcW w:w="5000" w:type="dxa"/>
            <w:vAlign w:val="center"/>
          </w:tcPr>
          <w:p>
            <w:pPr>
              <w:spacing w:before="60" w:after="60"/>
            </w:pPr>
            <w:r>
              <w:rPr>
                <w:sz w:val="20"/>
                <w:color w:val="1a202c"/>
              </w:rPr>
              <w:t>Fired</w:t>
            </w:r>
          </w:p>
        </w:tc>
        <w:tc>
          <w:tcPr>
            <w:tcW w:w="5000" w:type="dxa"/>
            <w:vAlign w:val="center"/>
          </w:tcPr>
          <w:p>
            <w:pPr>
              <w:spacing w:before="60" w:after="60"/>
            </w:pPr>
            <w:r>
              <w:rPr>
                <w:sz w:val="20"/>
                <w:color w:val="1a202c"/>
              </w:rPr>
              <w:t>Dismissed / Terminated</w:t>
            </w:r>
          </w:p>
        </w:tc>
      </w:tr>
    </w:tbl>
    <w:p>
      <w:pPr>
        <w:spacing w:after="120"/>
      </w:pPr>
    </w:p>
    <w:p>
      <w:pPr>
        <w:keepNext/>
        <w:spacing w:before="160" w:after="60"/>
      </w:pPr>
      <w:r>
        <w:rPr>
          <w:b/>
          <w:color w:val="2c5282"/>
          <w:sz w:val="23"/>
        </w:rPr>
        <w:t>UK Professional Bodies and Standards</w:t>
      </w:r>
    </w:p>
    <w:p>
      <w:pPr>
        <w:numPr>
          <w:ilvl w:val="0"/>
          <w:numId w:val="1"/>
        </w:numPr>
        <w:spacing w:after="60"/>
      </w:pPr>
      <w:r>
        <w:t>BCS - The Chartered Institute for IT (for tech roles)</w:t>
      </w:r>
    </w:p>
    <w:p>
      <w:pPr>
        <w:numPr>
          <w:ilvl w:val="0"/>
          <w:numId w:val="1"/>
        </w:numPr>
        <w:spacing w:after="60"/>
      </w:pPr>
      <w:r>
        <w:t>IIBA - International Institute of Business Analysis</w:t>
      </w:r>
    </w:p>
    <w:p>
      <w:pPr>
        <w:numPr>
          <w:ilvl w:val="0"/>
          <w:numId w:val="1"/>
        </w:numPr>
        <w:spacing w:after="60"/>
      </w:pPr>
      <w:r>
        <w:t>PMI - Project Management Institute</w:t>
      </w:r>
    </w:p>
    <w:p>
      <w:pPr>
        <w:numPr>
          <w:ilvl w:val="0"/>
          <w:numId w:val="1"/>
        </w:numPr>
        <w:spacing w:after="60"/>
      </w:pPr>
      <w:r>
        <w:t>NMC - Nursing and Midwifery Council</w:t>
      </w:r>
    </w:p>
    <w:p>
      <w:pPr>
        <w:numPr>
          <w:ilvl w:val="0"/>
          <w:numId w:val="1"/>
        </w:numPr>
        <w:spacing w:after="60"/>
      </w:pPr>
      <w:r>
        <w:t>Engineering Council / IMechE / IET</w:t>
      </w:r>
    </w:p>
    <w:p>
      <w:pPr>
        <w:numPr>
          <w:ilvl w:val="0"/>
          <w:numId w:val="1"/>
        </w:numPr>
        <w:spacing w:after="60"/>
      </w:pPr>
      <w:r>
        <w:t>CIPD - Chartered Institute of Personnel and Development</w:t>
      </w:r>
    </w:p>
    <w:p>
      <w:pPr>
        <w:pStyle w:val="Heading1"/>
      </w:pPr>
      <w:r>
        <w:t>SECTION 4: ATS OPTIMIZATION STRATEGIES</w:t>
      </w:r>
    </w:p>
    <w:p>
      <w:pPr>
        <w:keepNext/>
        <w:spacing w:before="160" w:after="60"/>
      </w:pPr>
      <w:r>
        <w:rPr>
          <w:b/>
          <w:color w:val="2c5282"/>
          <w:sz w:val="23"/>
        </w:rPr>
        <w:t>What ATS Systems Look For</w:t>
      </w:r>
    </w:p>
    <w:p>
      <w:pPr>
        <w:numPr>
          <w:ilvl w:val="0"/>
          <w:numId w:val="2"/>
        </w:numPr>
        <w:spacing w:after="60"/>
      </w:pPr>
      <w:r>
        <w:t>Exact keyword matches from job descriptions</w:t>
      </w:r>
    </w:p>
    <w:p>
      <w:pPr>
        <w:numPr>
          <w:ilvl w:val="0"/>
          <w:numId w:val="2"/>
        </w:numPr>
        <w:spacing w:after="60"/>
      </w:pPr>
      <w:r>
        <w:t>Standard job titles (avoid creative titles)</w:t>
      </w:r>
    </w:p>
    <w:p>
      <w:pPr>
        <w:numPr>
          <w:ilvl w:val="0"/>
          <w:numId w:val="2"/>
        </w:numPr>
        <w:spacing w:after="60"/>
      </w:pPr>
      <w:r>
        <w:t>Clear section headings (Experience, Education, Skills)</w:t>
      </w:r>
    </w:p>
    <w:p>
      <w:pPr>
        <w:numPr>
          <w:ilvl w:val="0"/>
          <w:numId w:val="2"/>
        </w:numPr>
        <w:spacing w:after="60"/>
      </w:pPr>
      <w:r>
        <w:t>Consistent date formats (Month Year - Month Year)</w:t>
      </w:r>
    </w:p>
    <w:p>
      <w:pPr>
        <w:numPr>
          <w:ilvl w:val="0"/>
          <w:numId w:val="2"/>
        </w:numPr>
        <w:spacing w:after="60"/>
      </w:pPr>
      <w:r>
        <w:t>Measurable achievements with numbers</w:t>
      </w:r>
    </w:p>
    <w:p>
      <w:pPr>
        <w:keepNext/>
        <w:spacing w:before="160" w:after="60"/>
      </w:pPr>
      <w:r>
        <w:rPr>
          <w:b/>
          <w:color w:val="2c5282"/>
          <w:sz w:val="23"/>
        </w:rPr>
        <w:t>ATS-Friendly Formatting Rules</w:t>
      </w:r>
    </w:p>
    <w:tbl>
      <w:tblPr>
        <w:tblW w:w="5000" w:type="pct"/>
        <w:tblBorders>
          <w:top w:val="single" w:color="cbd5e0" w:sz="4"/>
          <w:bottom w:val="single" w:color="cbd5e0" w:sz="4"/>
          <w:left w:val="single" w:color="cbd5e0" w:sz="4"/>
          <w:right w:val="single" w:color="cbd5e0" w:sz="4"/>
          <w:insideH w:val="single" w:color="cbd5e0" w:sz="4"/>
          <w:insideV w:val="single" w:color="cbd5e0" w:sz="4"/>
        </w:tblBorders>
      </w:tblPr>
      <w:tblGrid>
        <w:gridCol w:w="5000"/>
        <w:gridCol w:w="5000"/>
      </w:tblGrid>
      <w:tr>
        <w:tc>
          <w:tcPr>
            <w:tcW w:w="5000" w:type="dxa"/>
            <w:vAlign w:val="center"/>
            <w:shd w:val="clear" w:fill="edf2f7"/>
          </w:tcPr>
          <w:p>
            <w:pPr>
              <w:spacing w:before="60" w:after="60"/>
            </w:pPr>
            <w:r>
              <w:rPr>
                <w:sz w:val="20"/>
                <w:color w:val="276749"/>
                <w:b/>
              </w:rPr>
              <w:t>DO</w:t>
            </w:r>
          </w:p>
        </w:tc>
        <w:tc>
          <w:tcPr>
            <w:tcW w:w="5000" w:type="dxa"/>
            <w:vAlign w:val="center"/>
            <w:shd w:val="clear" w:fill="edf2f7"/>
          </w:tcPr>
          <w:p>
            <w:pPr>
              <w:spacing w:before="60" w:after="60"/>
            </w:pPr>
            <w:r>
              <w:rPr>
                <w:sz w:val="20"/>
                <w:color w:val="c05621"/>
                <w:b/>
              </w:rPr>
              <w:t>DO NOT</w:t>
            </w:r>
          </w:p>
        </w:tc>
      </w:tr>
      <w:tr>
        <w:tc>
          <w:tcPr>
            <w:tcW w:w="5000" w:type="dxa"/>
            <w:vAlign w:val="center"/>
          </w:tcPr>
          <w:p>
            <w:pPr>
              <w:spacing w:before="60" w:after="60"/>
            </w:pPr>
            <w:r>
              <w:rPr>
                <w:sz w:val="20"/>
                <w:color w:val="1a202c"/>
              </w:rPr>
              <w:t>Use standard fonts (Arial, Calibri, Times New Roman)</w:t>
            </w:r>
          </w:p>
        </w:tc>
        <w:tc>
          <w:tcPr>
            <w:tcW w:w="5000" w:type="dxa"/>
            <w:vAlign w:val="center"/>
          </w:tcPr>
          <w:p>
            <w:pPr>
              <w:spacing w:before="60" w:after="60"/>
            </w:pPr>
            <w:r>
              <w:rPr>
                <w:sz w:val="20"/>
                <w:color w:val="1a202c"/>
              </w:rPr>
              <w:t>Use decorative or script fonts</w:t>
            </w:r>
          </w:p>
        </w:tc>
      </w:tr>
      <w:tr>
        <w:tc>
          <w:tcPr>
            <w:tcW w:w="5000" w:type="dxa"/>
            <w:vAlign w:val="center"/>
          </w:tcPr>
          <w:p>
            <w:pPr>
              <w:spacing w:before="60" w:after="60"/>
            </w:pPr>
            <w:r>
              <w:rPr>
                <w:sz w:val="20"/>
                <w:color w:val="1a202c"/>
              </w:rPr>
              <w:t>Save as .docx or .pdf</w:t>
            </w:r>
          </w:p>
        </w:tc>
        <w:tc>
          <w:tcPr>
            <w:tcW w:w="5000" w:type="dxa"/>
            <w:vAlign w:val="center"/>
          </w:tcPr>
          <w:p>
            <w:pPr>
              <w:spacing w:before="60" w:after="60"/>
            </w:pPr>
            <w:r>
              <w:rPr>
                <w:sz w:val="20"/>
                <w:color w:val="1a202c"/>
              </w:rPr>
              <w:t>Use .doc, .txt, or image formats</w:t>
            </w:r>
          </w:p>
        </w:tc>
      </w:tr>
      <w:tr>
        <w:tc>
          <w:tcPr>
            <w:tcW w:w="5000" w:type="dxa"/>
            <w:vAlign w:val="center"/>
          </w:tcPr>
          <w:p>
            <w:pPr>
              <w:spacing w:before="60" w:after="60"/>
            </w:pPr>
            <w:r>
              <w:rPr>
                <w:sz w:val="20"/>
                <w:color w:val="1a202c"/>
              </w:rPr>
              <w:t>Use clear section headings</w:t>
            </w:r>
          </w:p>
        </w:tc>
        <w:tc>
          <w:tcPr>
            <w:tcW w:w="5000" w:type="dxa"/>
            <w:vAlign w:val="center"/>
          </w:tcPr>
          <w:p>
            <w:pPr>
              <w:spacing w:before="60" w:after="60"/>
            </w:pPr>
            <w:r>
              <w:rPr>
                <w:sz w:val="20"/>
                <w:color w:val="1a202c"/>
              </w:rPr>
              <w:t>Use tables for main content layout</w:t>
            </w:r>
          </w:p>
        </w:tc>
      </w:tr>
      <w:tr>
        <w:tc>
          <w:tcPr>
            <w:tcW w:w="5000" w:type="dxa"/>
            <w:vAlign w:val="center"/>
          </w:tcPr>
          <w:p>
            <w:pPr>
              <w:spacing w:before="60" w:after="60"/>
            </w:pPr>
            <w:r>
              <w:rPr>
                <w:sz w:val="20"/>
                <w:color w:val="1a202c"/>
              </w:rPr>
              <w:t>Include keywords naturally in context</w:t>
            </w:r>
          </w:p>
        </w:tc>
        <w:tc>
          <w:tcPr>
            <w:tcW w:w="5000" w:type="dxa"/>
            <w:vAlign w:val="center"/>
          </w:tcPr>
          <w:p>
            <w:pPr>
              <w:spacing w:before="60" w:after="60"/>
            </w:pPr>
            <w:r>
              <w:rPr>
                <w:sz w:val="20"/>
                <w:color w:val="1a202c"/>
              </w:rPr>
              <w:t>Keyword stuff or hide keywords</w:t>
            </w:r>
          </w:p>
        </w:tc>
      </w:tr>
      <w:tr>
        <w:tc>
          <w:tcPr>
            <w:tcW w:w="5000" w:type="dxa"/>
            <w:vAlign w:val="center"/>
          </w:tcPr>
          <w:p>
            <w:pPr>
              <w:spacing w:before="60" w:after="60"/>
            </w:pPr>
            <w:r>
              <w:rPr>
                <w:sz w:val="20"/>
                <w:color w:val="1a202c"/>
              </w:rPr>
              <w:t>Use bullet points for achievements</w:t>
            </w:r>
          </w:p>
        </w:tc>
        <w:tc>
          <w:tcPr>
            <w:tcW w:w="5000" w:type="dxa"/>
            <w:vAlign w:val="center"/>
          </w:tcPr>
          <w:p>
            <w:pPr>
              <w:spacing w:before="60" w:after="60"/>
            </w:pPr>
            <w:r>
              <w:rPr>
                <w:sz w:val="20"/>
                <w:color w:val="1a202c"/>
              </w:rPr>
              <w:t>Use graphics, charts, or images</w:t>
            </w:r>
          </w:p>
        </w:tc>
      </w:tr>
      <w:tr>
        <w:tc>
          <w:tcPr>
            <w:tcW w:w="5000" w:type="dxa"/>
            <w:vAlign w:val="center"/>
          </w:tcPr>
          <w:p>
            <w:pPr>
              <w:spacing w:before="60" w:after="60"/>
            </w:pPr>
            <w:r>
              <w:rPr>
                <w:sz w:val="20"/>
                <w:color w:val="1a202c"/>
              </w:rPr>
              <w:t>Spell out acronyms first time</w:t>
            </w:r>
          </w:p>
        </w:tc>
        <w:tc>
          <w:tcPr>
            <w:tcW w:w="5000" w:type="dxa"/>
            <w:vAlign w:val="center"/>
          </w:tcPr>
          <w:p>
            <w:pPr>
              <w:spacing w:before="60" w:after="60"/>
            </w:pPr>
            <w:r>
              <w:rPr>
                <w:sz w:val="20"/>
                <w:color w:val="1a202c"/>
              </w:rPr>
              <w:t>Assume ATS understands all acronyms</w:t>
            </w:r>
          </w:p>
        </w:tc>
      </w:tr>
      <w:tr>
        <w:tc>
          <w:tcPr>
            <w:tcW w:w="5000" w:type="dxa"/>
            <w:vAlign w:val="center"/>
          </w:tcPr>
          <w:p>
            <w:pPr>
              <w:spacing w:before="60" w:after="60"/>
            </w:pPr>
            <w:r>
              <w:rPr>
                <w:sz w:val="20"/>
                <w:color w:val="1a202c"/>
              </w:rPr>
              <w:t>Use single column layout</w:t>
            </w:r>
          </w:p>
        </w:tc>
        <w:tc>
          <w:tcPr>
            <w:tcW w:w="5000" w:type="dxa"/>
            <w:vAlign w:val="center"/>
          </w:tcPr>
          <w:p>
            <w:pPr>
              <w:spacing w:before="60" w:after="60"/>
            </w:pPr>
            <w:r>
              <w:rPr>
                <w:sz w:val="20"/>
                <w:color w:val="1a202c"/>
              </w:rPr>
              <w:t>Use multi-column layouts</w:t>
            </w:r>
          </w:p>
        </w:tc>
      </w:tr>
    </w:tbl>
    <w:p>
      <w:pPr>
        <w:spacing w:after="120"/>
      </w:pPr>
    </w:p>
    <w:p>
      <w:pPr>
        <w:pStyle w:val="Heading1"/>
      </w:pPr>
      <w:r>
        <w:t>SECTION 5: STRATEGIC KEYWORD PLACEMENT</w:t>
      </w:r>
    </w:p>
    <w:p>
      <w:pPr>
        <w:keepNext/>
        <w:spacing w:before="160" w:after="60"/>
      </w:pPr>
      <w:r>
        <w:rPr>
          <w:b/>
          <w:color w:val="2c5282"/>
          <w:sz w:val="23"/>
        </w:rPr>
        <w:t>Priority Locations for Keywords</w:t>
      </w:r>
    </w:p>
    <w:p>
      <w:pPr>
        <w:numPr>
          <w:ilvl w:val="0"/>
          <w:numId w:val="2"/>
        </w:numPr>
        <w:spacing w:after="60"/>
      </w:pPr>
      <w:r>
        <w:t>Professional Summary (Top 3-5 most important keywords)</w:t>
      </w:r>
    </w:p>
    <w:p>
      <w:pPr>
        <w:numPr>
          <w:ilvl w:val="0"/>
          <w:numId w:val="2"/>
        </w:numPr>
        <w:spacing w:after="60"/>
      </w:pPr>
      <w:r>
        <w:t>Skills Section (Comprehensive keyword list)</w:t>
      </w:r>
    </w:p>
    <w:p>
      <w:pPr>
        <w:numPr>
          <w:ilvl w:val="0"/>
          <w:numId w:val="2"/>
        </w:numPr>
        <w:spacing w:after="60"/>
      </w:pPr>
      <w:r>
        <w:t>Job Titles (Standard industry titles)</w:t>
      </w:r>
    </w:p>
    <w:p>
      <w:pPr>
        <w:numPr>
          <w:ilvl w:val="0"/>
          <w:numId w:val="2"/>
        </w:numPr>
        <w:spacing w:after="60"/>
      </w:pPr>
      <w:r>
        <w:t>Work Experience Bullets (Contextual usage)</w:t>
      </w:r>
    </w:p>
    <w:p>
      <w:pPr>
        <w:numPr>
          <w:ilvl w:val="0"/>
          <w:numId w:val="2"/>
        </w:numPr>
        <w:spacing w:after="60"/>
      </w:pPr>
      <w:r>
        <w:t>Certifications (Industry-recognised credentials)</w:t>
      </w:r>
    </w:p>
    <w:p>
      <w:pPr>
        <w:keepNext/>
        <w:spacing w:before="160" w:after="60"/>
      </w:pPr>
      <w:r>
        <w:rPr>
          <w:b/>
          <w:color w:val="2c5282"/>
          <w:sz w:val="23"/>
        </w:rPr>
        <w:t>Keyword Density Guidelines</w:t>
      </w:r>
    </w:p>
    <w:p>
      <w:pPr>
        <w:spacing w:after="120"/>
      </w:pPr>
      <w:r>
        <w:t>Aim for 2-3% keyword density. For a 500-word CV, use each primary keyword 10-15 times naturally throughout. Avoid keyword stuffing which can trigger ATS rejection.</w:t>
      </w:r>
    </w:p>
    <w:p>
      <w:pPr>
        <w:pStyle w:val="Heading1"/>
      </w:pPr>
      <w:r>
        <w:t>SECTION 6: POWERFUL ACTION VERBS FOR UK CVs</w:t>
      </w:r>
    </w:p>
    <w:p>
      <w:pPr>
        <w:keepNext/>
        <w:spacing w:before="160" w:after="60"/>
      </w:pPr>
      <w:r>
        <w:rPr>
          <w:b/>
          <w:color w:val="2c5282"/>
          <w:sz w:val="23"/>
        </w:rPr>
        <w:t>Leadership and Management</w:t>
      </w:r>
    </w:p>
    <w:p>
      <w:pPr>
        <w:spacing w:after="120"/>
      </w:pPr>
      <w:r>
        <w:t>Led, Managed, Directed, Supervised, Coordinated, Oversaw, Championed, Spearheaded, Orchestrated, Mentored</w:t>
      </w:r>
    </w:p>
    <w:p>
      <w:pPr>
        <w:keepNext/>
        <w:spacing w:before="160" w:after="60"/>
      </w:pPr>
      <w:r>
        <w:rPr>
          <w:b/>
          <w:color w:val="2c5282"/>
          <w:sz w:val="23"/>
        </w:rPr>
        <w:t>Technical and Analytical</w:t>
      </w:r>
    </w:p>
    <w:p>
      <w:pPr>
        <w:spacing w:after="120"/>
      </w:pPr>
      <w:r>
        <w:t>Developed, Engineered, Architected, Implemented, Deployed, Optimised, Analysed, Evaluated, Investigated, Resolved</w:t>
      </w:r>
    </w:p>
    <w:p>
      <w:pPr>
        <w:keepNext/>
        <w:spacing w:before="160" w:after="60"/>
      </w:pPr>
      <w:r>
        <w:rPr>
          <w:b/>
          <w:color w:val="2c5282"/>
          <w:sz w:val="23"/>
        </w:rPr>
        <w:t>Communication and Collaboration</w:t>
      </w:r>
    </w:p>
    <w:p>
      <w:pPr>
        <w:spacing w:after="120"/>
      </w:pPr>
      <w:r>
        <w:t>Presented, Negotiated, Facilitated, Liaised, Consulted, Advised, Influenced, Collaborated, Partnered</w:t>
      </w:r>
    </w:p>
    <w:p>
      <w:pPr>
        <w:keepNext/>
        <w:spacing w:before="160" w:after="60"/>
      </w:pPr>
      <w:r>
        <w:rPr>
          <w:b/>
          <w:color w:val="2c5282"/>
          <w:sz w:val="23"/>
        </w:rPr>
        <w:t>Achievement and Results</w:t>
      </w:r>
    </w:p>
    <w:p>
      <w:pPr>
        <w:spacing w:after="120"/>
      </w:pPr>
      <w:r>
        <w:t>Achieved, Delivered, Exceeded, Improved, Increased, Reduced, Streamlined, Transformed, Innovated, Pioneered</w:t>
      </w:r>
    </w:p>
    <w:p>
      <w:pPr>
        <w:spacing w:before="400"/>
        <w:pBdr>
          <w:top w:val="single" w:color="cbd5e0" w:sz="4" w:space="12"/>
        </w:pBdr>
      </w:pPr>
      <w:r>
        <w:rPr>
          <w:i/>
          <w:color w:val="718096"/>
          <w:sz w:val="18"/>
        </w:rPr>
        <w:t>This guide is designed to help international candidates optimise their CVs for UK Skilled Worker visa sponsorship opportunities.</w:t>
      </w:r>
    </w:p>
    <w:sectPr>
      <w:pgSz w:w="11906" w:h="16838"/>
      <w:pgMar w:top="720" w:right="900" w:bottom="720" w:left="900" w:header="360" w:footer="360"/>
    </w:sectPr>
  </w:body>
</w:document>
</file>

<file path=word/numbering.xml><?xml version="1.0" encoding="utf-8"?>
<w:numbering xmlns:w="http://schemas.openxmlformats.org/wordprocessingml/2006/main">
  <w:abstractNum w:abstractNumId="1">
    <w:lvl w:ilvl="0">
      <w:numFmt w:val="bullet"/>
      <w:lvlText w:val="•"/>
      <w:lvlJc w:val="left"/>
      <w:pPr>
        <w:ind w:left="360" w:hanging="360"/>
      </w:pPr>
    </w:lvl>
  </w:abstractNum>
  <w:num w:numId="1">
    <w:abstractNumId w:val="1"/>
  </w:num>
  <w:abstractNum w:abstractNumId="2">
    <w:lvl w:ilvl="0">
      <w:numFmt w:val="decimal"/>
      <w:lvlText w:val="%1."/>
      <w:lvlJc w:val="left"/>
      <w:pPr>
        <w:ind w:left="360" w:hanging="360"/>
      </w:pPr>
    </w:lvl>
  </w:abstractNum>
  <w:num w:numId="2">
    <w:abstractNumId w:val="2"/>
  </w:num>
</w:numbering>
</file>

<file path=word/styles.xml><?xml version="1.0" encoding="utf-8"?>
<w:styles xmlns:w="http://schemas.openxmlformats.org/wordprocessingml/2006/main">
  <w:style w:type="paragraph" w:styleId="Normal" w:default="true">
    <w:name w:val="Normal"/>
    <w:pPr>
      <w:spacing w:after="120" w:line="264" w:lineRule="auto"/>
    </w:pPr>
    <w:rPr>
      <w:rFonts w:ascii="Calibri" w:hAnsi="Calibri" w:eastAsia="Microsoft YaHei"/>
      <w:sz w:val="22"/>
      <w:color w:val="1a202c"/>
    </w:rPr>
  </w:style>
  <w:style w:type="paragraph" w:styleId="Heading1">
    <w:name w:val="heading 1"/>
    <w:basedOn w:val="Normal"/>
    <w:pPr>
      <w:keepNext/>
      <w:keepLines/>
      <w:spacing w:before="280" w:after="80" w:line="240" w:lineRule="auto"/>
      <w:outlineLvl w:val="0"/>
      <w:pBdr>
        <w:bottom w:val="single" w:color="cbd5e0" w:sz="4" w:space="2"/>
      </w:pBdr>
    </w:pPr>
    <w:rPr>
      <w:b/>
      <w:color w:val="1a365d"/>
      <w:sz w:val="24"/>
      <w:spacing w:val="30"/>
    </w:rPr>
  </w:style>
</w:styles>
</file>

<file path=word/_rels/document.xml.rels>&#65279;<?xml version="1.0" encoding="utf-8"?><Relationships xmlns="http://schemas.openxmlformats.org/package/2006/relationships"><Relationship Type="http://schemas.openxmlformats.org/officeDocument/2006/relationships/styles" Target="/word/styles.xml" Id="R64b078d4d6824dd9" /><Relationship Type="http://schemas.openxmlformats.org/officeDocument/2006/relationships/numbering" Target="/word/numbering.xml" Id="R68d8416894a74ef4" /></Relationships>
</file>